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C1" w:rsidRPr="001676C1" w:rsidRDefault="001676C1" w:rsidP="001676C1">
      <w:pPr>
        <w:spacing w:line="1200" w:lineRule="exact"/>
        <w:rPr>
          <w:rFonts w:ascii="Calibri" w:eastAsia="方正小标宋简体" w:hAnsi="Calibri" w:cs="Times New Roman"/>
          <w:color w:val="FF0000"/>
          <w:spacing w:val="-20"/>
          <w:sz w:val="52"/>
          <w:szCs w:val="52"/>
        </w:rPr>
      </w:pPr>
      <w:r w:rsidRPr="001676C1">
        <w:rPr>
          <w:rFonts w:ascii="Calibri" w:eastAsia="方正小标宋简体" w:hAnsi="Calibri" w:cs="Times New Roman" w:hint="eastAsia"/>
          <w:color w:val="FF0000"/>
          <w:spacing w:val="-20"/>
          <w:sz w:val="52"/>
          <w:szCs w:val="52"/>
        </w:rPr>
        <w:t>嵊州市招商选资工作领导小组办公室文件</w:t>
      </w:r>
    </w:p>
    <w:p w:rsidR="001676C1" w:rsidRDefault="001676C1" w:rsidP="001676C1">
      <w:pPr>
        <w:rPr>
          <w:rFonts w:ascii="仿宋_GB2312" w:eastAsia="宋体" w:hAnsi="Calibri" w:cs="Times New Roman"/>
          <w:color w:val="000000"/>
        </w:rPr>
      </w:pPr>
    </w:p>
    <w:p w:rsidR="00502256" w:rsidRPr="001676C1" w:rsidRDefault="00502256" w:rsidP="001676C1">
      <w:pPr>
        <w:rPr>
          <w:rFonts w:ascii="仿宋_GB2312" w:eastAsia="宋体" w:hAnsi="Calibri" w:cs="Times New Roman"/>
          <w:color w:val="000000"/>
        </w:rPr>
      </w:pPr>
    </w:p>
    <w:p w:rsidR="001676C1" w:rsidRPr="001676C1" w:rsidRDefault="001676C1" w:rsidP="001676C1">
      <w:pPr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 w:rsidRPr="001676C1">
        <w:rPr>
          <w:rFonts w:ascii="仿宋" w:eastAsia="仿宋" w:hAnsi="仿宋" w:cs="Times New Roman" w:hint="eastAsia"/>
          <w:color w:val="000000"/>
          <w:sz w:val="32"/>
          <w:szCs w:val="32"/>
        </w:rPr>
        <w:t>嵊招商办〔2017〕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6</w:t>
      </w:r>
      <w:r w:rsidRPr="001676C1">
        <w:rPr>
          <w:rFonts w:ascii="仿宋" w:eastAsia="仿宋" w:hAnsi="仿宋" w:cs="Times New Roman" w:hint="eastAsia"/>
          <w:color w:val="000000"/>
          <w:sz w:val="32"/>
          <w:szCs w:val="32"/>
        </w:rPr>
        <w:t>号</w:t>
      </w:r>
    </w:p>
    <w:p w:rsidR="001676C1" w:rsidRPr="001676C1" w:rsidRDefault="007D7DAB" w:rsidP="001676C1">
      <w:pPr>
        <w:spacing w:line="340" w:lineRule="exact"/>
        <w:jc w:val="center"/>
        <w:rPr>
          <w:rFonts w:ascii="Calibri" w:eastAsia="宋体" w:hAnsi="Calibri" w:cs="Times New Roman"/>
          <w:sz w:val="28"/>
        </w:rPr>
      </w:pPr>
      <w:r>
        <w:rPr>
          <w:rFonts w:ascii="Calibri" w:eastAsia="宋体" w:hAnsi="Calibri" w:cs="Times New Roman"/>
          <w:color w:val="000000"/>
          <w:sz w:val="20"/>
        </w:rPr>
        <w:pict>
          <v:line id="Line 2" o:spid="_x0000_s1026" style="position:absolute;left:0;text-align:left;z-index:251659264" from="-7.35pt,4.65pt" to="454.65pt,4.65pt" strokecolor="red" strokeweight="2.25pt"/>
        </w:pict>
      </w:r>
    </w:p>
    <w:p w:rsidR="00751470" w:rsidRDefault="00751470"/>
    <w:p w:rsidR="00502256" w:rsidRDefault="00502256"/>
    <w:p w:rsidR="00502256" w:rsidRDefault="00502256"/>
    <w:p w:rsidR="00003AA3" w:rsidRDefault="00003AA3" w:rsidP="00502256">
      <w:pPr>
        <w:widowControl/>
        <w:spacing w:line="520" w:lineRule="exact"/>
        <w:jc w:val="center"/>
        <w:outlineLvl w:val="0"/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</w:pPr>
      <w:r w:rsidRPr="00003AA3"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  <w:t>嵊州市招商选资工作领导小组办公室</w:t>
      </w:r>
    </w:p>
    <w:p w:rsidR="00502256" w:rsidRPr="00502256" w:rsidRDefault="00502256" w:rsidP="00502256">
      <w:pPr>
        <w:widowControl/>
        <w:spacing w:line="520" w:lineRule="exact"/>
        <w:jc w:val="center"/>
        <w:outlineLvl w:val="0"/>
        <w:rPr>
          <w:rFonts w:ascii="方正小标宋简体" w:eastAsia="方正小标宋简体" w:hAnsi="宋体" w:cs="微软雅黑"/>
          <w:b/>
          <w:bCs/>
          <w:kern w:val="44"/>
          <w:sz w:val="44"/>
          <w:szCs w:val="44"/>
        </w:rPr>
      </w:pPr>
      <w:r w:rsidRPr="00502256"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  <w:t>印发《</w:t>
      </w:r>
      <w:r w:rsidR="00003AA3"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  <w:t>关于</w:t>
      </w:r>
      <w:r w:rsidRPr="00502256"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  <w:t>建立重大招商项目流转机制的意见》的通知</w:t>
      </w:r>
    </w:p>
    <w:p w:rsidR="00502256" w:rsidRPr="005373C1" w:rsidRDefault="00502256" w:rsidP="00502256">
      <w:pPr>
        <w:spacing w:line="580" w:lineRule="exact"/>
        <w:jc w:val="center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p w:rsidR="00502256" w:rsidRPr="00502256" w:rsidRDefault="00E51804" w:rsidP="00502256">
      <w:pPr>
        <w:spacing w:line="52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E5180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各有关招商单位：</w:t>
      </w:r>
    </w:p>
    <w:p w:rsidR="00502256" w:rsidRPr="00502256" w:rsidRDefault="00502256" w:rsidP="0050225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《</w:t>
      </w:r>
      <w:r w:rsidR="00003AA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关于</w:t>
      </w: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建立重大招商项目流转机制的意见</w:t>
      </w:r>
      <w:r w:rsidRPr="00502256">
        <w:rPr>
          <w:rFonts w:ascii="仿宋_GB2312" w:eastAsia="仿宋_GB2312" w:hAnsi="仿宋_GB2312" w:cs="仿宋_GB2312" w:hint="eastAsia"/>
          <w:color w:val="000000"/>
          <w:sz w:val="32"/>
          <w:szCs w:val="20"/>
        </w:rPr>
        <w:t xml:space="preserve">》已经市招商选资工作领导小组同意，现予以印发，请遵照执行。 </w:t>
      </w:r>
    </w:p>
    <w:p w:rsidR="00502256" w:rsidRPr="00502256" w:rsidRDefault="00502256" w:rsidP="00502256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02256" w:rsidRPr="00502256" w:rsidRDefault="00502256" w:rsidP="00502256">
      <w:pPr>
        <w:spacing w:line="560" w:lineRule="exact"/>
        <w:ind w:left="2080" w:hangingChars="650" w:hanging="208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02256" w:rsidRPr="00502256" w:rsidRDefault="00502256" w:rsidP="00502256">
      <w:pPr>
        <w:spacing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022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嵊州市招商选资工作领导小组办公室</w:t>
      </w:r>
    </w:p>
    <w:p w:rsidR="00502256" w:rsidRPr="00502256" w:rsidRDefault="00502256" w:rsidP="00502256">
      <w:pPr>
        <w:spacing w:line="560" w:lineRule="exact"/>
        <w:ind w:rightChars="400" w:right="840" w:firstLineChars="900" w:firstLine="2880"/>
        <w:jc w:val="right"/>
        <w:rPr>
          <w:rFonts w:ascii="仿宋_GB2312" w:eastAsia="仿宋_GB2312" w:hAnsi="仿宋_GB2312" w:cs="仿宋_GB2312"/>
          <w:color w:val="000000"/>
          <w:sz w:val="32"/>
          <w:szCs w:val="20"/>
        </w:rPr>
      </w:pPr>
      <w:r w:rsidRPr="00502256">
        <w:rPr>
          <w:rFonts w:ascii="仿宋_GB2312" w:eastAsia="仿宋_GB2312" w:hAnsi="仿宋_GB2312" w:cs="仿宋_GB2312" w:hint="eastAsia"/>
          <w:color w:val="000000"/>
          <w:sz w:val="32"/>
          <w:szCs w:val="20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32"/>
          <w:szCs w:val="20"/>
        </w:rPr>
        <w:t>7</w:t>
      </w:r>
      <w:r w:rsidRPr="00502256">
        <w:rPr>
          <w:rFonts w:ascii="仿宋_GB2312" w:eastAsia="仿宋_GB2312" w:hAnsi="仿宋_GB2312" w:cs="仿宋_GB2312" w:hint="eastAsia"/>
          <w:color w:val="000000"/>
          <w:sz w:val="32"/>
          <w:szCs w:val="2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20"/>
        </w:rPr>
        <w:t>7</w:t>
      </w:r>
      <w:r w:rsidRPr="00502256">
        <w:rPr>
          <w:rFonts w:ascii="仿宋_GB2312" w:eastAsia="仿宋_GB2312" w:hAnsi="仿宋_GB2312" w:cs="仿宋_GB2312" w:hint="eastAsia"/>
          <w:color w:val="000000"/>
          <w:sz w:val="32"/>
          <w:szCs w:val="2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20"/>
        </w:rPr>
        <w:t>19</w:t>
      </w:r>
      <w:r w:rsidRPr="00502256">
        <w:rPr>
          <w:rFonts w:ascii="仿宋_GB2312" w:eastAsia="仿宋_GB2312" w:hAnsi="仿宋_GB2312" w:cs="仿宋_GB2312" w:hint="eastAsia"/>
          <w:color w:val="000000"/>
          <w:sz w:val="32"/>
          <w:szCs w:val="20"/>
        </w:rPr>
        <w:t xml:space="preserve"> 日</w:t>
      </w:r>
    </w:p>
    <w:p w:rsidR="00502256" w:rsidRDefault="00502256"/>
    <w:p w:rsidR="00502256" w:rsidRDefault="00502256"/>
    <w:p w:rsidR="00502256" w:rsidRDefault="00502256"/>
    <w:p w:rsidR="00502256" w:rsidRDefault="00502256"/>
    <w:p w:rsidR="00502256" w:rsidRDefault="00502256"/>
    <w:p w:rsidR="00502256" w:rsidRDefault="00502256"/>
    <w:p w:rsidR="00502256" w:rsidRDefault="00502256"/>
    <w:p w:rsidR="00502256" w:rsidRDefault="00502256"/>
    <w:p w:rsidR="00502256" w:rsidRDefault="00502256"/>
    <w:p w:rsidR="00502256" w:rsidRDefault="00502256"/>
    <w:p w:rsidR="00502256" w:rsidRDefault="00502256"/>
    <w:p w:rsidR="00502256" w:rsidRDefault="00502256"/>
    <w:p w:rsidR="00502256" w:rsidRDefault="00502256"/>
    <w:p w:rsidR="00502256" w:rsidRDefault="00502256"/>
    <w:p w:rsidR="00502256" w:rsidRPr="00502256" w:rsidRDefault="00502256"/>
    <w:p w:rsidR="00751470" w:rsidRPr="00502256" w:rsidRDefault="00846443">
      <w:pPr>
        <w:spacing w:line="480" w:lineRule="auto"/>
        <w:jc w:val="center"/>
        <w:rPr>
          <w:rFonts w:ascii="黑体" w:eastAsia="黑体" w:hAnsi="黑体" w:cstheme="majorEastAsia"/>
          <w:bCs/>
          <w:sz w:val="44"/>
          <w:szCs w:val="44"/>
        </w:rPr>
      </w:pPr>
      <w:r w:rsidRPr="00502256">
        <w:rPr>
          <w:rFonts w:ascii="黑体" w:eastAsia="黑体" w:hAnsi="黑体" w:cstheme="majorEastAsia" w:hint="eastAsia"/>
          <w:bCs/>
          <w:sz w:val="44"/>
          <w:szCs w:val="44"/>
        </w:rPr>
        <w:t>关于建立重大招商项目流转机制的意见</w:t>
      </w:r>
    </w:p>
    <w:p w:rsidR="00751470" w:rsidRDefault="00751470"/>
    <w:p w:rsidR="00751470" w:rsidRPr="00502256" w:rsidRDefault="00846443" w:rsidP="008E596A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</w:t>
      </w:r>
      <w:r w:rsidR="0011212E"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乡镇、街道</w:t>
      </w: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</w:p>
    <w:p w:rsidR="00751470" w:rsidRPr="00502256" w:rsidRDefault="00846443" w:rsidP="008E596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为贯彻落实市委、市政府打好精准招商攻坚战的决策部署，突出“以项目论英雄”，采取更加扎实有效的措施，实现全市域招商信息资源的共享共用，使更多更好的项目落地</w:t>
      </w:r>
      <w:r w:rsidR="0011212E"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嵊州</w:t>
      </w: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，市招商</w:t>
      </w:r>
      <w:r w:rsidR="0011212E"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选资领导小组办公室</w:t>
      </w: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就建立重大招商项目流转机制提出如下意见：</w:t>
      </w:r>
    </w:p>
    <w:p w:rsidR="00751470" w:rsidRDefault="00846443" w:rsidP="008E596A">
      <w:pPr>
        <w:spacing w:line="560" w:lineRule="exact"/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一、工作目标</w:t>
      </w:r>
    </w:p>
    <w:p w:rsidR="00751470" w:rsidRPr="00502256" w:rsidRDefault="00846443" w:rsidP="008E596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构建外资</w:t>
      </w:r>
      <w:r w:rsidR="00436F49"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</w:t>
      </w:r>
      <w:r w:rsidR="00E23637"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00</w:t>
      </w: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万美元以上和内资</w:t>
      </w:r>
      <w:r w:rsidR="00436F49"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5000</w:t>
      </w: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元以上在谈招商项目的有效流转机制，实现招商引资信息资源共享，确保重大招商项目不外流。</w:t>
      </w:r>
    </w:p>
    <w:p w:rsidR="00751470" w:rsidRDefault="00846443" w:rsidP="008E596A">
      <w:pPr>
        <w:spacing w:line="560" w:lineRule="exact"/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二、基本原则</w:t>
      </w:r>
    </w:p>
    <w:p w:rsidR="00751470" w:rsidRPr="00502256" w:rsidRDefault="00846443" w:rsidP="008E596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围绕重大项目的招引、洽谈、落地，市招商</w:t>
      </w:r>
      <w:r w:rsidR="00DC5A1C"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办</w:t>
      </w: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将在工作中执行以下几条原则：</w:t>
      </w:r>
    </w:p>
    <w:p w:rsidR="00751470" w:rsidRPr="00502256" w:rsidRDefault="00846443" w:rsidP="008E596A">
      <w:pPr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502256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（一）遵循差异化发展理念。</w:t>
      </w: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依据</w:t>
      </w:r>
      <w:r w:rsidR="0011212E"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乡镇、街道</w:t>
      </w: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发展的目标定位、产业导向和招商重点不同，结合实际，有针对性地开展招商</w:t>
      </w:r>
      <w:r w:rsidR="0011212E"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选</w:t>
      </w: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资工作。</w:t>
      </w:r>
    </w:p>
    <w:p w:rsidR="00751470" w:rsidRPr="00502256" w:rsidRDefault="00846443" w:rsidP="008E596A">
      <w:pPr>
        <w:spacing w:line="560" w:lineRule="exact"/>
        <w:ind w:firstLine="585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502256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（二）尊重项目双方基本条件。</w:t>
      </w: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根据投资商的投资需求和各</w:t>
      </w:r>
      <w:r w:rsidR="00E251C7"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乡镇、街道</w:t>
      </w: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的供应条件，双方进行对接磋商，积极争取项目落地。</w:t>
      </w:r>
    </w:p>
    <w:p w:rsidR="00502256" w:rsidRPr="00502256" w:rsidRDefault="00846443" w:rsidP="008E596A">
      <w:pPr>
        <w:spacing w:line="560" w:lineRule="exact"/>
        <w:ind w:firstLine="585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502256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（三）体现公平有序竞争原则。</w:t>
      </w: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按照“公平、合理、有序”的原则，把招商项目引流到合适的</w:t>
      </w:r>
      <w:r w:rsidR="00E251C7"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乡镇、街道</w:t>
      </w:r>
      <w:r w:rsidRPr="0050225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，发挥项目的最大效益。</w:t>
      </w:r>
    </w:p>
    <w:p w:rsidR="00751470" w:rsidRDefault="00846443" w:rsidP="008E596A">
      <w:pPr>
        <w:spacing w:line="560" w:lineRule="exact"/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三、操作办法</w:t>
      </w:r>
    </w:p>
    <w:p w:rsidR="00751470" w:rsidRPr="008E596A" w:rsidRDefault="00846443" w:rsidP="008E596A">
      <w:pPr>
        <w:pStyle w:val="1"/>
        <w:spacing w:line="560" w:lineRule="exact"/>
        <w:ind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</w:t>
      </w:r>
      <w:r w:rsidR="00E251C7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市招商办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在收到有价值的投资需求信息之后，根据投资方的要求，以《</w:t>
      </w:r>
      <w:r w:rsidR="00E251C7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嵊州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市重大在谈招商项目流转推荐单》的形式，推荐给合适</w:t>
      </w:r>
      <w:r w:rsidR="00E76805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乡镇、街道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，接到推荐单的单位在15天内与投资商取得联系，如项目适应则继续跟进，并在推荐单签署意见后反馈给市招商</w:t>
      </w:r>
      <w:r w:rsidR="002E26DD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办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；如项目不适应，则在推荐单反馈不适应原因，提出再流转意见。市招商</w:t>
      </w:r>
      <w:r w:rsidR="000B40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办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再派单给</w:t>
      </w:r>
      <w:r w:rsidR="00C02E1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其他</w:t>
      </w:r>
      <w:r w:rsidR="000B40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乡镇、街道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751470" w:rsidRPr="008E596A" w:rsidRDefault="00846443" w:rsidP="008E596A">
      <w:pPr>
        <w:pStyle w:val="1"/>
        <w:spacing w:line="560" w:lineRule="exact"/>
        <w:ind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（二）各</w:t>
      </w:r>
      <w:r w:rsidR="00931C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乡镇、街道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在招商引资过程中如碰到不适应本区域发展的重大在谈项目，则以《</w:t>
      </w:r>
      <w:r w:rsidR="00931C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嵊州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市在谈招商项目流转推荐单》的形式报给市招商</w:t>
      </w:r>
      <w:r w:rsidR="00931C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办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，由市招商</w:t>
      </w:r>
      <w:r w:rsidR="00931C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办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作比较分析，7天内推荐给有关</w:t>
      </w:r>
      <w:r w:rsidR="00931C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乡镇、街道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，实现招商信息资源利用的最大化。</w:t>
      </w:r>
    </w:p>
    <w:p w:rsidR="00751470" w:rsidRPr="008E596A" w:rsidRDefault="00846443" w:rsidP="008E596A">
      <w:pPr>
        <w:pStyle w:val="1"/>
        <w:spacing w:line="560" w:lineRule="exact"/>
        <w:ind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（三）在项目的流转过程中，市招商</w:t>
      </w:r>
      <w:r w:rsidR="00931C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办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将每隔15天进行跟踪督查，各</w:t>
      </w:r>
      <w:r w:rsidR="00931C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乡镇、街道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务必把有关进展情况及时反馈给市招商</w:t>
      </w:r>
      <w:r w:rsidR="00931C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办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。市招商</w:t>
      </w:r>
      <w:r w:rsidR="00931C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办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将专人负责，专门发布流转信息。</w:t>
      </w:r>
    </w:p>
    <w:p w:rsidR="00751470" w:rsidRPr="008E596A" w:rsidRDefault="00846443" w:rsidP="008E596A">
      <w:pPr>
        <w:spacing w:line="560" w:lineRule="exact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 w:rsidRPr="008E596A">
        <w:rPr>
          <w:rFonts w:ascii="黑体" w:eastAsia="黑体" w:hAnsi="黑体" w:cs="黑体" w:hint="eastAsia"/>
          <w:sz w:val="30"/>
          <w:szCs w:val="30"/>
        </w:rPr>
        <w:t>四、工作要求</w:t>
      </w:r>
    </w:p>
    <w:p w:rsidR="00751470" w:rsidRPr="008E596A" w:rsidRDefault="00846443" w:rsidP="008E596A">
      <w:pPr>
        <w:pStyle w:val="1"/>
        <w:spacing w:line="560" w:lineRule="exact"/>
        <w:ind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</w:t>
      </w:r>
      <w:r w:rsidR="00931C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乡镇、街道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要充分认识重大在谈招商项目流转工作的重要性，惜项目如金，积极做好项目的洽谈、签约和落地工作。要强化合作意识，在积极做好项目筛选工作的同时，要加强横向的信息沟通交流，把不适应本地域发展的重大项目推荐给其他</w:t>
      </w:r>
      <w:r w:rsidR="00931C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乡镇、街道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。市招商</w:t>
      </w:r>
      <w:r w:rsidR="00931C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办</w:t>
      </w:r>
      <w:r w:rsidR="00B21849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将不定期公布重大项目流转信息，</w:t>
      </w:r>
      <w:r w:rsidR="00F562BD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项目流转信息作为项目引进和落户单位的依据</w:t>
      </w:r>
      <w:r w:rsidR="00F562B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</w:t>
      </w:r>
      <w:r w:rsidR="00B21849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并把这项工作纳入考核督查内容。</w:t>
      </w:r>
    </w:p>
    <w:p w:rsidR="00751470" w:rsidRPr="008E596A" w:rsidRDefault="00846443" w:rsidP="008E596A">
      <w:pPr>
        <w:pStyle w:val="1"/>
        <w:spacing w:line="560" w:lineRule="exact"/>
        <w:ind w:firstLineChars="0" w:firstLine="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附：《</w:t>
      </w:r>
      <w:r w:rsidR="00931C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嵊州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市重大在谈招商项目流转推荐单》</w:t>
      </w:r>
    </w:p>
    <w:p w:rsidR="001676C1" w:rsidRDefault="001676C1" w:rsidP="008E596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751470" w:rsidRPr="008E596A" w:rsidRDefault="00846443" w:rsidP="008E596A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 w:rsidR="00931C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嵊州市招商选资工作领导办公室</w:t>
      </w:r>
    </w:p>
    <w:p w:rsidR="00751470" w:rsidRPr="008E596A" w:rsidRDefault="00846443" w:rsidP="008E596A">
      <w:pPr>
        <w:pStyle w:val="1"/>
        <w:spacing w:line="560" w:lineRule="exact"/>
        <w:ind w:firstLineChars="0" w:firstLine="60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</w:t>
      </w:r>
      <w:r w:rsidRPr="008E596A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2017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 w:rsidR="00931C50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 w:rsidR="00A404BC"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19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:rsidR="00751470" w:rsidRDefault="00751470" w:rsidP="008E596A">
      <w:pPr>
        <w:pStyle w:val="1"/>
        <w:spacing w:line="560" w:lineRule="exact"/>
        <w:ind w:firstLine="600"/>
        <w:jc w:val="left"/>
        <w:rPr>
          <w:rFonts w:cs="Times New Roman"/>
          <w:sz w:val="30"/>
          <w:szCs w:val="30"/>
        </w:rPr>
      </w:pPr>
    </w:p>
    <w:p w:rsidR="00751470" w:rsidRDefault="00751470">
      <w:pPr>
        <w:pStyle w:val="1"/>
        <w:ind w:firstLineChars="0" w:firstLine="0"/>
        <w:rPr>
          <w:rFonts w:ascii="黑体" w:eastAsia="黑体" w:hAnsi="黑体" w:cs="Times New Roman"/>
          <w:sz w:val="36"/>
          <w:szCs w:val="36"/>
        </w:rPr>
        <w:sectPr w:rsidR="00751470" w:rsidSect="001676C1">
          <w:headerReference w:type="default" r:id="rId9"/>
          <w:footerReference w:type="default" r:id="rId10"/>
          <w:type w:val="continuous"/>
          <w:pgSz w:w="11906" w:h="16838"/>
          <w:pgMar w:top="1134" w:right="1474" w:bottom="1134" w:left="1588" w:header="851" w:footer="992" w:gutter="0"/>
          <w:cols w:space="425"/>
          <w:docGrid w:type="lines" w:linePitch="312"/>
        </w:sectPr>
      </w:pPr>
    </w:p>
    <w:p w:rsidR="00751470" w:rsidRDefault="00751470">
      <w:pPr>
        <w:pStyle w:val="1"/>
        <w:ind w:firstLineChars="0" w:firstLine="0"/>
        <w:jc w:val="center"/>
        <w:rPr>
          <w:rFonts w:ascii="黑体" w:eastAsia="黑体" w:hAnsi="黑体" w:cs="Times New Roman"/>
          <w:sz w:val="36"/>
          <w:szCs w:val="36"/>
        </w:rPr>
        <w:sectPr w:rsidR="0075147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51470" w:rsidRDefault="00931C50">
      <w:pPr>
        <w:pStyle w:val="1"/>
        <w:ind w:firstLineChars="0" w:firstLine="0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嵊州</w:t>
      </w:r>
      <w:r w:rsidR="00846443">
        <w:rPr>
          <w:rFonts w:ascii="黑体" w:eastAsia="黑体" w:hAnsi="黑体" w:cs="黑体" w:hint="eastAsia"/>
          <w:sz w:val="36"/>
          <w:szCs w:val="36"/>
        </w:rPr>
        <w:t>市重大在谈招商项目流转推荐单</w:t>
      </w:r>
    </w:p>
    <w:p w:rsidR="00751470" w:rsidRDefault="00751470">
      <w:pPr>
        <w:pStyle w:val="1"/>
        <w:ind w:firstLineChars="0" w:firstLine="0"/>
        <w:jc w:val="center"/>
        <w:rPr>
          <w:rFonts w:ascii="黑体" w:eastAsia="黑体" w:hAnsi="黑体" w:cs="Times New Roman"/>
          <w:sz w:val="36"/>
          <w:szCs w:val="36"/>
        </w:rPr>
      </w:pPr>
    </w:p>
    <w:p w:rsidR="00751470" w:rsidRDefault="00846443">
      <w:pPr>
        <w:pStyle w:val="1"/>
        <w:ind w:firstLineChars="0" w:firstLine="0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0"/>
          <w:szCs w:val="30"/>
        </w:rPr>
        <w:t>（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接收单位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2297"/>
        <w:gridCol w:w="1956"/>
        <w:gridCol w:w="2779"/>
      </w:tblGrid>
      <w:tr w:rsidR="00751470">
        <w:trPr>
          <w:trHeight w:val="1802"/>
        </w:trPr>
        <w:tc>
          <w:tcPr>
            <w:tcW w:w="1490" w:type="dxa"/>
            <w:vAlign w:val="center"/>
          </w:tcPr>
          <w:p w:rsidR="00751470" w:rsidRPr="008E596A" w:rsidRDefault="00846443">
            <w:pPr>
              <w:pStyle w:val="1"/>
              <w:ind w:firstLineChars="0" w:firstLine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8E596A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投资企业名称</w:t>
            </w:r>
          </w:p>
        </w:tc>
        <w:tc>
          <w:tcPr>
            <w:tcW w:w="2297" w:type="dxa"/>
            <w:vAlign w:val="center"/>
          </w:tcPr>
          <w:p w:rsidR="00751470" w:rsidRDefault="00751470">
            <w:pPr>
              <w:pStyle w:val="1"/>
              <w:ind w:firstLineChars="0" w:firstLine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956" w:type="dxa"/>
            <w:vAlign w:val="center"/>
          </w:tcPr>
          <w:p w:rsidR="00751470" w:rsidRPr="008E596A" w:rsidRDefault="00846443">
            <w:pPr>
              <w:pStyle w:val="1"/>
              <w:ind w:firstLineChars="0" w:firstLine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8E596A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法人代表</w:t>
            </w:r>
            <w:r w:rsidRPr="008E596A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8E596A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（联系方式）</w:t>
            </w:r>
          </w:p>
        </w:tc>
        <w:tc>
          <w:tcPr>
            <w:tcW w:w="2779" w:type="dxa"/>
            <w:vAlign w:val="center"/>
          </w:tcPr>
          <w:p w:rsidR="00751470" w:rsidRDefault="00751470">
            <w:pPr>
              <w:pStyle w:val="1"/>
              <w:ind w:firstLineChars="0" w:firstLine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51470">
        <w:trPr>
          <w:trHeight w:val="3278"/>
        </w:trPr>
        <w:tc>
          <w:tcPr>
            <w:tcW w:w="1490" w:type="dxa"/>
            <w:vAlign w:val="center"/>
          </w:tcPr>
          <w:p w:rsidR="00751470" w:rsidRDefault="00846443">
            <w:pPr>
              <w:pStyle w:val="1"/>
              <w:ind w:firstLineChars="0" w:firstLine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8E596A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项目基本情况</w:t>
            </w:r>
          </w:p>
        </w:tc>
        <w:tc>
          <w:tcPr>
            <w:tcW w:w="7032" w:type="dxa"/>
            <w:gridSpan w:val="3"/>
            <w:vAlign w:val="center"/>
          </w:tcPr>
          <w:p w:rsidR="00751470" w:rsidRDefault="00751470">
            <w:pPr>
              <w:pStyle w:val="1"/>
              <w:ind w:firstLineChars="0" w:firstLine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51470">
        <w:trPr>
          <w:trHeight w:val="1836"/>
        </w:trPr>
        <w:tc>
          <w:tcPr>
            <w:tcW w:w="1490" w:type="dxa"/>
            <w:vAlign w:val="center"/>
          </w:tcPr>
          <w:p w:rsidR="00751470" w:rsidRDefault="00846443">
            <w:pPr>
              <w:pStyle w:val="1"/>
              <w:ind w:firstLineChars="0" w:firstLine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8E596A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推荐落地理由</w:t>
            </w:r>
            <w:r w:rsidRPr="008E596A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 xml:space="preserve">     </w:t>
            </w:r>
            <w:r w:rsidRPr="008E596A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（不适应理由）</w:t>
            </w:r>
          </w:p>
        </w:tc>
        <w:tc>
          <w:tcPr>
            <w:tcW w:w="7032" w:type="dxa"/>
            <w:gridSpan w:val="3"/>
            <w:vAlign w:val="center"/>
          </w:tcPr>
          <w:p w:rsidR="00751470" w:rsidRDefault="00751470">
            <w:pPr>
              <w:pStyle w:val="1"/>
              <w:ind w:firstLineChars="0" w:firstLine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51470">
        <w:trPr>
          <w:trHeight w:val="1603"/>
        </w:trPr>
        <w:tc>
          <w:tcPr>
            <w:tcW w:w="1490" w:type="dxa"/>
            <w:vAlign w:val="center"/>
          </w:tcPr>
          <w:p w:rsidR="00751470" w:rsidRDefault="00846443">
            <w:pPr>
              <w:pStyle w:val="1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8E596A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接收单位意见</w:t>
            </w:r>
            <w:r w:rsidRPr="008E596A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8E596A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（接受或再推荐）</w:t>
            </w:r>
          </w:p>
        </w:tc>
        <w:tc>
          <w:tcPr>
            <w:tcW w:w="7032" w:type="dxa"/>
            <w:gridSpan w:val="3"/>
            <w:vAlign w:val="center"/>
          </w:tcPr>
          <w:p w:rsidR="00751470" w:rsidRDefault="00751470">
            <w:pPr>
              <w:pStyle w:val="1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</w:tbl>
    <w:p w:rsidR="00751470" w:rsidRDefault="00751470">
      <w:pPr>
        <w:pStyle w:val="1"/>
        <w:ind w:firstLineChars="0" w:firstLine="0"/>
        <w:jc w:val="right"/>
        <w:rPr>
          <w:rFonts w:ascii="仿宋" w:eastAsia="仿宋" w:hAnsi="仿宋" w:cs="Times New Roman"/>
          <w:sz w:val="30"/>
          <w:szCs w:val="30"/>
          <w:u w:val="single"/>
        </w:rPr>
      </w:pPr>
    </w:p>
    <w:p w:rsidR="00751470" w:rsidRDefault="008E596A" w:rsidP="008E596A">
      <w:pPr>
        <w:pStyle w:val="1"/>
        <w:ind w:firstLineChars="0" w:firstLine="0"/>
        <w:jc w:val="center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</w:t>
      </w:r>
      <w:r w:rsidR="00846443">
        <w:rPr>
          <w:rFonts w:ascii="仿宋" w:eastAsia="仿宋" w:hAnsi="仿宋" w:cs="仿宋"/>
          <w:sz w:val="30"/>
          <w:szCs w:val="30"/>
          <w:u w:val="single"/>
        </w:rPr>
        <w:t xml:space="preserve">         </w:t>
      </w:r>
      <w:r w:rsidR="00846443" w:rsidRPr="008E596A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（推荐单位）</w:t>
      </w:r>
    </w:p>
    <w:p w:rsidR="00751470" w:rsidRPr="008E596A" w:rsidRDefault="00846443" w:rsidP="00E23637">
      <w:pPr>
        <w:pStyle w:val="1"/>
        <w:wordWrap w:val="0"/>
        <w:ind w:right="150" w:firstLineChars="0" w:firstLine="0"/>
        <w:jc w:val="righ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8E596A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年</w:t>
      </w:r>
      <w:r w:rsidRPr="008E596A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 xml:space="preserve">  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月</w:t>
      </w:r>
      <w:r w:rsidRPr="008E596A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 xml:space="preserve">  </w:t>
      </w:r>
      <w:r w:rsidRPr="008E596A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日</w:t>
      </w:r>
    </w:p>
    <w:sectPr w:rsidR="00751470" w:rsidRPr="008E596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AB" w:rsidRDefault="007D7DAB">
      <w:r>
        <w:separator/>
      </w:r>
    </w:p>
  </w:endnote>
  <w:endnote w:type="continuationSeparator" w:id="0">
    <w:p w:rsidR="007D7DAB" w:rsidRDefault="007D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72883"/>
      <w:docPartObj>
        <w:docPartGallery w:val="Page Numbers (Bottom of Page)"/>
        <w:docPartUnique/>
      </w:docPartObj>
    </w:sdtPr>
    <w:sdtEndPr/>
    <w:sdtContent>
      <w:p w:rsidR="00E37E74" w:rsidRDefault="00E37E7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DAB" w:rsidRPr="007D7DAB">
          <w:rPr>
            <w:noProof/>
            <w:lang w:val="zh-CN"/>
          </w:rPr>
          <w:t>1</w:t>
        </w:r>
        <w:r>
          <w:fldChar w:fldCharType="end"/>
        </w:r>
      </w:p>
    </w:sdtContent>
  </w:sdt>
  <w:p w:rsidR="00751470" w:rsidRDefault="00751470">
    <w:pPr>
      <w:pStyle w:val="a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70" w:rsidRDefault="00751470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AB" w:rsidRDefault="007D7DAB">
      <w:r>
        <w:separator/>
      </w:r>
    </w:p>
  </w:footnote>
  <w:footnote w:type="continuationSeparator" w:id="0">
    <w:p w:rsidR="007D7DAB" w:rsidRDefault="007D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70" w:rsidRDefault="00751470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5EDF"/>
    <w:rsid w:val="00003AA3"/>
    <w:rsid w:val="000B4050"/>
    <w:rsid w:val="000D16DA"/>
    <w:rsid w:val="000E334D"/>
    <w:rsid w:val="0011212E"/>
    <w:rsid w:val="001676C1"/>
    <w:rsid w:val="00172690"/>
    <w:rsid w:val="00175826"/>
    <w:rsid w:val="002611E6"/>
    <w:rsid w:val="002E26DD"/>
    <w:rsid w:val="00350581"/>
    <w:rsid w:val="00436F49"/>
    <w:rsid w:val="00502256"/>
    <w:rsid w:val="00526B60"/>
    <w:rsid w:val="005373C1"/>
    <w:rsid w:val="005420B2"/>
    <w:rsid w:val="00570C18"/>
    <w:rsid w:val="005A0F5D"/>
    <w:rsid w:val="00601865"/>
    <w:rsid w:val="00691D43"/>
    <w:rsid w:val="00751470"/>
    <w:rsid w:val="00780790"/>
    <w:rsid w:val="007D7DAB"/>
    <w:rsid w:val="00813983"/>
    <w:rsid w:val="008330E7"/>
    <w:rsid w:val="00846443"/>
    <w:rsid w:val="008E596A"/>
    <w:rsid w:val="00931C50"/>
    <w:rsid w:val="009A7A0B"/>
    <w:rsid w:val="00A404BC"/>
    <w:rsid w:val="00A80766"/>
    <w:rsid w:val="00B15EDF"/>
    <w:rsid w:val="00B21849"/>
    <w:rsid w:val="00BD4AF5"/>
    <w:rsid w:val="00BD7D99"/>
    <w:rsid w:val="00C02E10"/>
    <w:rsid w:val="00C11358"/>
    <w:rsid w:val="00C11A25"/>
    <w:rsid w:val="00CF7861"/>
    <w:rsid w:val="00D054AE"/>
    <w:rsid w:val="00D34E04"/>
    <w:rsid w:val="00DC5A1C"/>
    <w:rsid w:val="00DF4C4A"/>
    <w:rsid w:val="00E23637"/>
    <w:rsid w:val="00E251C7"/>
    <w:rsid w:val="00E37E74"/>
    <w:rsid w:val="00E51804"/>
    <w:rsid w:val="00E76805"/>
    <w:rsid w:val="00ED1DE4"/>
    <w:rsid w:val="00ED3C25"/>
    <w:rsid w:val="00EE507D"/>
    <w:rsid w:val="00F10818"/>
    <w:rsid w:val="00F36993"/>
    <w:rsid w:val="00F562BD"/>
    <w:rsid w:val="0C59612D"/>
    <w:rsid w:val="17D727D4"/>
    <w:rsid w:val="2A2328D6"/>
    <w:rsid w:val="489B15C5"/>
    <w:rsid w:val="7CB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F3699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369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F2D35C-1A79-4213-95E9-DBCCB33A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208</Words>
  <Characters>1190</Characters>
  <Application>Microsoft Office Word</Application>
  <DocSecurity>0</DocSecurity>
  <Lines>9</Lines>
  <Paragraphs>2</Paragraphs>
  <ScaleCrop>false</ScaleCrop>
  <Company>微软中国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dell5</cp:lastModifiedBy>
  <cp:revision>61</cp:revision>
  <cp:lastPrinted>2017-07-19T02:14:00Z</cp:lastPrinted>
  <dcterms:created xsi:type="dcterms:W3CDTF">2017-06-26T01:04:00Z</dcterms:created>
  <dcterms:modified xsi:type="dcterms:W3CDTF">2017-07-19T02:54:00Z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