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方正小标宋简体" w:hAnsi="方正小标宋简体" w:eastAsia="方正小标宋简体" w:cs="方正小标宋简体"/>
          <w:color w:val="000000" w:themeColor="text1"/>
          <w:sz w:val="44"/>
          <w:szCs w:val="44"/>
          <w14:textFill>
            <w14:solidFill>
              <w14:schemeClr w14:val="tx1"/>
            </w14:solidFill>
          </w14:textFill>
        </w:rPr>
      </w:pPr>
      <w:bookmarkStart w:id="0" w:name="_GoBack"/>
      <w:bookmarkEnd w:id="0"/>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黑体" w:hAnsi="黑体" w:eastAsia="黑体" w:cs="黑体"/>
          <w:color w:val="000000" w:themeColor="text1"/>
          <w:sz w:val="36"/>
          <w:szCs w:val="36"/>
          <w:lang w:val="en-US" w:eastAsia="zh-CN"/>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2020年浦口街道政府信息公开年报</w:t>
      </w:r>
    </w:p>
    <w:p>
      <w:pPr>
        <w:pStyle w:val="3"/>
        <w:keepNext w:val="0"/>
        <w:keepLines w:val="0"/>
        <w:pageBreakBefore w:val="0"/>
        <w:widowControl w:val="0"/>
        <w:kinsoku/>
        <w:wordWrap/>
        <w:overflowPunct/>
        <w:topLinePunct w:val="0"/>
        <w:autoSpaceDE/>
        <w:autoSpaceDN/>
        <w:bidi w:val="0"/>
        <w:adjustRightInd/>
        <w:snapToGrid/>
        <w:spacing w:before="313" w:beforeLines="100" w:beforeAutospacing="0" w:after="313" w:afterLines="100" w:afterAutospacing="0" w:line="560" w:lineRule="exact"/>
        <w:jc w:val="center"/>
        <w:textAlignment w:val="auto"/>
        <w:rPr>
          <w:rFonts w:hint="eastAsia" w:ascii="黑体" w:hAnsi="黑体" w:eastAsia="黑体" w:cs="黑体"/>
          <w:color w:val="000000" w:themeColor="text1"/>
          <w:sz w:val="36"/>
          <w:szCs w:val="36"/>
          <w:lang w:val="en-US" w:eastAsia="zh-CN"/>
          <w14:textFill>
            <w14:solidFill>
              <w14:schemeClr w14:val="tx1"/>
            </w14:solidFill>
          </w14:textFill>
        </w:rPr>
      </w:pPr>
      <w:r>
        <w:rPr>
          <w:rFonts w:hint="eastAsia" w:ascii="黑体" w:hAnsi="黑体" w:eastAsia="黑体" w:cs="黑体"/>
          <w:color w:val="000000" w:themeColor="text1"/>
          <w:sz w:val="36"/>
          <w:szCs w:val="36"/>
          <w:lang w:val="en-US" w:eastAsia="zh-CN"/>
          <w14:textFill>
            <w14:solidFill>
              <w14:schemeClr w14:val="tx1"/>
            </w14:solidFill>
          </w14:textFill>
        </w:rPr>
        <w:t>2020年工作总结</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仿宋"/>
          <w:sz w:val="32"/>
          <w:szCs w:val="32"/>
        </w:rPr>
      </w:pPr>
      <w:r>
        <w:rPr>
          <w:rFonts w:hint="eastAsia" w:ascii="仿宋_GB2312" w:hAnsi="仿宋" w:eastAsia="仿宋_GB2312" w:cs="仿宋"/>
          <w:sz w:val="32"/>
          <w:szCs w:val="32"/>
        </w:rPr>
        <w:t>20</w:t>
      </w:r>
      <w:r>
        <w:rPr>
          <w:rFonts w:hint="eastAsia" w:ascii="仿宋_GB2312" w:hAnsi="仿宋" w:eastAsia="仿宋_GB2312" w:cs="仿宋"/>
          <w:sz w:val="32"/>
          <w:szCs w:val="32"/>
          <w:lang w:val="en-US" w:eastAsia="zh-CN"/>
        </w:rPr>
        <w:t>20</w:t>
      </w:r>
      <w:r>
        <w:rPr>
          <w:rFonts w:hint="eastAsia" w:ascii="仿宋_GB2312" w:hAnsi="仿宋" w:eastAsia="仿宋_GB2312" w:cs="仿宋"/>
          <w:sz w:val="32"/>
          <w:szCs w:val="32"/>
        </w:rPr>
        <w:t>年浦口街道按照市委、市政府的关于政务公开工作的要求部署，以打造阳光政府、服务政府、法治政府的目标，进一步搭建公开平台，丰富公开形式，逐步构建并完善线上线下双管齐下、主动公开和依申请公开相结合的政务公开立体网络</w:t>
      </w:r>
      <w:r>
        <w:rPr>
          <w:rFonts w:hint="eastAsia" w:ascii="仿宋_GB2312" w:hAnsi="仿宋" w:eastAsia="仿宋_GB2312" w:cs="仿宋"/>
          <w:sz w:val="32"/>
          <w:szCs w:val="32"/>
          <w:lang w:eastAsia="zh-CN"/>
        </w:rPr>
        <w:t>，取得良好成效。</w:t>
      </w:r>
      <w:r>
        <w:rPr>
          <w:rFonts w:hint="eastAsia" w:ascii="仿宋_GB2312" w:hAnsi="仿宋" w:eastAsia="仿宋_GB2312" w:cs="仿宋"/>
          <w:sz w:val="32"/>
          <w:szCs w:val="32"/>
        </w:rPr>
        <w:t>现将有关情况总结如下：</w:t>
      </w:r>
    </w:p>
    <w:p>
      <w:pPr>
        <w:keepNext w:val="0"/>
        <w:keepLines w:val="0"/>
        <w:pageBreakBefore w:val="0"/>
        <w:numPr>
          <w:ilvl w:val="0"/>
          <w:numId w:val="1"/>
        </w:numPr>
        <w:kinsoku/>
        <w:wordWrap/>
        <w:overflowPunct/>
        <w:topLinePunct w:val="0"/>
        <w:autoSpaceDE/>
        <w:autoSpaceDN/>
        <w:bidi w:val="0"/>
        <w:adjustRightInd/>
        <w:snapToGrid/>
        <w:spacing w:line="560" w:lineRule="exact"/>
        <w:ind w:firstLine="645"/>
        <w:textAlignment w:val="auto"/>
        <w:rPr>
          <w:rFonts w:hint="eastAsia" w:ascii="黑体" w:hAnsi="黑体" w:eastAsia="黑体" w:cs="仿宋"/>
          <w:sz w:val="32"/>
          <w:szCs w:val="32"/>
        </w:rPr>
      </w:pPr>
      <w:r>
        <w:rPr>
          <w:rFonts w:hint="eastAsia" w:ascii="黑体" w:hAnsi="黑体" w:eastAsia="黑体" w:cs="仿宋"/>
          <w:bCs/>
          <w:sz w:val="32"/>
          <w:szCs w:val="32"/>
          <w:lang w:eastAsia="zh-CN"/>
        </w:rPr>
        <w:t>政务公开</w:t>
      </w:r>
      <w:r>
        <w:rPr>
          <w:rFonts w:hint="eastAsia" w:ascii="黑体" w:hAnsi="黑体" w:eastAsia="黑体" w:cs="仿宋"/>
          <w:bCs/>
          <w:sz w:val="32"/>
          <w:szCs w:val="32"/>
        </w:rPr>
        <w:t>工作</w:t>
      </w:r>
      <w:r>
        <w:rPr>
          <w:rFonts w:hint="eastAsia" w:ascii="黑体" w:hAnsi="黑体" w:eastAsia="黑体" w:cs="仿宋"/>
          <w:bCs/>
          <w:sz w:val="32"/>
          <w:szCs w:val="32"/>
          <w:lang w:eastAsia="zh-CN"/>
        </w:rPr>
        <w:t>成效</w:t>
      </w:r>
      <w:r>
        <w:rPr>
          <w:rFonts w:hint="eastAsia" w:ascii="黑体" w:hAnsi="黑体" w:eastAsia="黑体" w:cs="仿宋"/>
          <w:sz w:val="32"/>
          <w:szCs w:val="32"/>
        </w:rPr>
        <w:t>　</w:t>
      </w:r>
    </w:p>
    <w:p>
      <w:pPr>
        <w:keepNext w:val="0"/>
        <w:keepLines w:val="0"/>
        <w:pageBreakBefore w:val="0"/>
        <w:kinsoku/>
        <w:wordWrap/>
        <w:overflowPunct/>
        <w:topLinePunct w:val="0"/>
        <w:autoSpaceDE/>
        <w:autoSpaceDN/>
        <w:bidi w:val="0"/>
        <w:adjustRightInd/>
        <w:snapToGrid/>
        <w:spacing w:line="560" w:lineRule="exact"/>
        <w:ind w:firstLine="645"/>
        <w:textAlignment w:val="auto"/>
        <w:rPr>
          <w:rFonts w:hint="eastAsia" w:ascii="楷体_GB2312" w:eastAsia="楷体_GB2312"/>
          <w:b/>
          <w:sz w:val="32"/>
          <w:szCs w:val="32"/>
        </w:rPr>
      </w:pPr>
      <w:r>
        <w:rPr>
          <w:rFonts w:hint="eastAsia" w:ascii="楷体_GB2312" w:eastAsia="楷体_GB2312"/>
          <w:b/>
          <w:sz w:val="32"/>
          <w:szCs w:val="32"/>
          <w:lang w:eastAsia="zh-CN"/>
        </w:rPr>
        <w:t>（一）</w:t>
      </w:r>
      <w:r>
        <w:rPr>
          <w:rFonts w:hint="eastAsia" w:ascii="楷体_GB2312" w:eastAsia="楷体_GB2312"/>
          <w:b/>
          <w:sz w:val="32"/>
          <w:szCs w:val="32"/>
        </w:rPr>
        <w:t>加强</w:t>
      </w:r>
      <w:r>
        <w:rPr>
          <w:rFonts w:hint="eastAsia" w:ascii="楷体_GB2312" w:eastAsia="楷体_GB2312"/>
          <w:b/>
          <w:sz w:val="32"/>
          <w:szCs w:val="32"/>
          <w:lang w:eastAsia="zh-CN"/>
        </w:rPr>
        <w:t>组织</w:t>
      </w:r>
      <w:r>
        <w:rPr>
          <w:rFonts w:hint="eastAsia" w:ascii="楷体_GB2312" w:eastAsia="楷体_GB2312"/>
          <w:b/>
          <w:sz w:val="32"/>
          <w:szCs w:val="32"/>
        </w:rPr>
        <w:t>领导，</w:t>
      </w:r>
      <w:r>
        <w:rPr>
          <w:rFonts w:hint="eastAsia" w:ascii="楷体_GB2312" w:eastAsia="楷体_GB2312"/>
          <w:b/>
          <w:sz w:val="32"/>
          <w:szCs w:val="32"/>
          <w:lang w:eastAsia="zh-CN"/>
        </w:rPr>
        <w:t>形成联动配合</w:t>
      </w:r>
      <w:r>
        <w:rPr>
          <w:rFonts w:hint="eastAsia" w:ascii="楷体_GB2312" w:eastAsia="楷体_GB2312"/>
          <w:b/>
          <w:sz w:val="32"/>
          <w:szCs w:val="32"/>
        </w:rPr>
        <w:t>。</w:t>
      </w:r>
      <w:r>
        <w:rPr>
          <w:rFonts w:hint="eastAsia" w:ascii="仿宋_GB2312" w:hAnsi="宋体" w:eastAsia="仿宋_GB2312"/>
          <w:b/>
          <w:sz w:val="32"/>
          <w:szCs w:val="32"/>
        </w:rPr>
        <w:t>一是</w:t>
      </w:r>
      <w:r>
        <w:rPr>
          <w:rFonts w:hint="eastAsia" w:ascii="仿宋_GB2312" w:eastAsia="仿宋_GB2312"/>
          <w:b/>
          <w:sz w:val="32"/>
          <w:szCs w:val="32"/>
          <w:lang w:eastAsia="zh-CN"/>
        </w:rPr>
        <w:t>压实责任</w:t>
      </w:r>
      <w:r>
        <w:rPr>
          <w:rFonts w:hint="eastAsia" w:ascii="仿宋_GB2312" w:hAnsi="宋体" w:eastAsia="仿宋_GB2312"/>
          <w:b/>
          <w:sz w:val="32"/>
          <w:szCs w:val="32"/>
        </w:rPr>
        <w:t>。</w:t>
      </w:r>
      <w:r>
        <w:rPr>
          <w:rFonts w:hint="eastAsia" w:ascii="仿宋_GB2312" w:eastAsia="仿宋_GB2312"/>
          <w:sz w:val="32"/>
          <w:szCs w:val="32"/>
          <w:lang w:eastAsia="zh-CN"/>
        </w:rPr>
        <w:t>浦口街道</w:t>
      </w:r>
      <w:r>
        <w:rPr>
          <w:rFonts w:hint="eastAsia" w:ascii="仿宋_GB2312" w:hAnsi="仿宋" w:eastAsia="仿宋_GB2312" w:cs="仿宋"/>
          <w:sz w:val="32"/>
          <w:szCs w:val="32"/>
        </w:rPr>
        <w:t>把政务公开工作列入重要议事日程，切实做到“五个落实”，即落实分管领导、落实专门机构、落实工作人员、落实专项经费、落实工作制度，成立了政务公开信息小组，分管领导具体负责，</w:t>
      </w:r>
      <w:r>
        <w:rPr>
          <w:rFonts w:hint="eastAsia" w:ascii="仿宋_GB2312" w:hAnsi="仿宋" w:eastAsia="仿宋_GB2312" w:cs="仿宋"/>
          <w:sz w:val="32"/>
          <w:szCs w:val="32"/>
          <w:lang w:eastAsia="zh-CN"/>
        </w:rPr>
        <w:t>设置</w:t>
      </w:r>
      <w:r>
        <w:rPr>
          <w:rFonts w:hint="eastAsia" w:ascii="仿宋_GB2312" w:hAnsi="仿宋" w:eastAsia="仿宋_GB2312" w:cs="仿宋"/>
          <w:sz w:val="32"/>
          <w:szCs w:val="32"/>
          <w:lang w:val="en-US" w:eastAsia="zh-CN"/>
        </w:rPr>
        <w:t>2名专人和17</w:t>
      </w:r>
      <w:r>
        <w:rPr>
          <w:rFonts w:hint="eastAsia" w:ascii="仿宋_GB2312" w:hAnsi="仿宋" w:eastAsia="仿宋_GB2312" w:cs="仿宋"/>
          <w:sz w:val="32"/>
          <w:szCs w:val="32"/>
        </w:rPr>
        <w:t>名兼职人员，</w:t>
      </w:r>
      <w:r>
        <w:rPr>
          <w:rFonts w:hint="eastAsia" w:ascii="仿宋_GB2312" w:hAnsi="仿宋" w:eastAsia="仿宋_GB2312" w:cs="仿宋"/>
          <w:sz w:val="32"/>
          <w:szCs w:val="32"/>
          <w:lang w:eastAsia="zh-CN"/>
        </w:rPr>
        <w:t>及时发布公开各线办</w:t>
      </w:r>
      <w:r>
        <w:rPr>
          <w:rFonts w:hint="eastAsia" w:ascii="仿宋_GB2312" w:hAnsi="仿宋" w:eastAsia="仿宋_GB2312" w:cs="仿宋"/>
          <w:sz w:val="32"/>
          <w:szCs w:val="32"/>
        </w:rPr>
        <w:t>政务信息，形成办公室牵头，各科室配合的</w:t>
      </w:r>
      <w:r>
        <w:rPr>
          <w:rFonts w:hint="eastAsia" w:ascii="仿宋_GB2312" w:hAnsi="仿宋" w:eastAsia="仿宋_GB2312" w:cs="仿宋"/>
          <w:sz w:val="32"/>
          <w:szCs w:val="32"/>
          <w:lang w:eastAsia="zh-CN"/>
        </w:rPr>
        <w:t>良性</w:t>
      </w:r>
      <w:r>
        <w:rPr>
          <w:rFonts w:hint="eastAsia" w:ascii="仿宋_GB2312" w:hAnsi="仿宋" w:eastAsia="仿宋_GB2312" w:cs="仿宋"/>
          <w:sz w:val="32"/>
          <w:szCs w:val="32"/>
        </w:rPr>
        <w:t>工作机制。</w:t>
      </w:r>
      <w:r>
        <w:rPr>
          <w:rFonts w:hint="eastAsia" w:ascii="仿宋_GB2312" w:hAnsi="仿宋" w:eastAsia="仿宋_GB2312" w:cs="仿宋"/>
          <w:b/>
          <w:sz w:val="32"/>
          <w:szCs w:val="32"/>
        </w:rPr>
        <w:t>二是</w:t>
      </w:r>
      <w:r>
        <w:rPr>
          <w:rFonts w:hint="eastAsia" w:ascii="仿宋_GB2312" w:hAnsi="仿宋" w:eastAsia="仿宋_GB2312" w:cs="仿宋"/>
          <w:b/>
          <w:sz w:val="32"/>
          <w:szCs w:val="32"/>
          <w:lang w:eastAsia="zh-CN"/>
        </w:rPr>
        <w:t>强化</w:t>
      </w:r>
      <w:r>
        <w:rPr>
          <w:rFonts w:hint="eastAsia" w:ascii="仿宋_GB2312" w:hAnsi="仿宋" w:eastAsia="仿宋_GB2312" w:cs="仿宋"/>
          <w:b/>
          <w:sz w:val="32"/>
          <w:szCs w:val="32"/>
        </w:rPr>
        <w:t>学习。</w:t>
      </w:r>
      <w:r>
        <w:rPr>
          <w:rFonts w:hint="eastAsia" w:ascii="仿宋_GB2312" w:hAnsi="仿宋" w:eastAsia="仿宋_GB2312" w:cs="仿宋"/>
          <w:sz w:val="32"/>
          <w:szCs w:val="32"/>
          <w:lang w:eastAsia="zh-CN"/>
        </w:rPr>
        <w:t>定期组织专人学习《</w:t>
      </w:r>
      <w:r>
        <w:rPr>
          <w:rFonts w:hint="eastAsia" w:ascii="仿宋_GB2312" w:hAnsi="仿宋" w:eastAsia="仿宋_GB2312" w:cs="仿宋"/>
          <w:sz w:val="32"/>
          <w:szCs w:val="32"/>
        </w:rPr>
        <w:t>中华人民共和国政府信息公开条例》</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rPr>
        <w:t>《</w:t>
      </w:r>
      <w:r>
        <w:rPr>
          <w:rFonts w:hint="eastAsia" w:ascii="仿宋_GB2312" w:hAnsi="仿宋" w:eastAsia="仿宋_GB2312" w:cs="仿宋"/>
          <w:sz w:val="32"/>
          <w:szCs w:val="32"/>
          <w:lang w:eastAsia="zh-CN"/>
        </w:rPr>
        <w:t>国务院办公厅政府信息与政务公开办公室关于政府信息公开工作年度报告有关事项的通知</w:t>
      </w:r>
      <w:r>
        <w:rPr>
          <w:rFonts w:hint="eastAsia" w:ascii="仿宋_GB2312" w:hAnsi="仿宋" w:eastAsia="仿宋_GB2312" w:cs="仿宋"/>
          <w:sz w:val="32"/>
          <w:szCs w:val="32"/>
        </w:rPr>
        <w:t>》等政策</w:t>
      </w:r>
      <w:r>
        <w:rPr>
          <w:rFonts w:hint="eastAsia" w:ascii="仿宋_GB2312" w:hAnsi="仿宋" w:eastAsia="仿宋_GB2312" w:cs="仿宋"/>
          <w:sz w:val="32"/>
          <w:szCs w:val="32"/>
          <w:lang w:eastAsia="zh-CN"/>
        </w:rPr>
        <w:t>文件</w:t>
      </w:r>
      <w:r>
        <w:rPr>
          <w:rFonts w:hint="eastAsia" w:ascii="仿宋_GB2312" w:hAnsi="仿宋" w:eastAsia="仿宋_GB2312" w:cs="仿宋"/>
          <w:sz w:val="32"/>
          <w:szCs w:val="32"/>
        </w:rPr>
        <w:t>，确保</w:t>
      </w:r>
      <w:r>
        <w:rPr>
          <w:rFonts w:hint="eastAsia" w:ascii="仿宋_GB2312" w:hAnsi="仿宋" w:eastAsia="仿宋_GB2312" w:cs="仿宋"/>
          <w:sz w:val="32"/>
          <w:szCs w:val="32"/>
          <w:lang w:eastAsia="zh-CN"/>
        </w:rPr>
        <w:t>我街道</w:t>
      </w:r>
      <w:r>
        <w:rPr>
          <w:rFonts w:hint="eastAsia" w:ascii="仿宋_GB2312" w:hAnsi="仿宋" w:eastAsia="仿宋_GB2312" w:cs="仿宋"/>
          <w:sz w:val="32"/>
          <w:szCs w:val="32"/>
        </w:rPr>
        <w:t>的政务信息工作能按照</w:t>
      </w:r>
      <w:r>
        <w:rPr>
          <w:rFonts w:hint="eastAsia" w:ascii="仿宋_GB2312" w:hAnsi="仿宋" w:eastAsia="仿宋_GB2312" w:cs="仿宋"/>
          <w:sz w:val="32"/>
          <w:szCs w:val="32"/>
          <w:lang w:eastAsia="zh-CN"/>
        </w:rPr>
        <w:t>全面对照有关规定</w:t>
      </w:r>
      <w:r>
        <w:rPr>
          <w:rFonts w:hint="eastAsia" w:ascii="仿宋_GB2312" w:hAnsi="仿宋" w:eastAsia="仿宋_GB2312" w:cs="仿宋"/>
          <w:sz w:val="32"/>
          <w:szCs w:val="32"/>
        </w:rPr>
        <w:t>执行到位。</w:t>
      </w:r>
      <w:r>
        <w:rPr>
          <w:rFonts w:hint="eastAsia" w:ascii="仿宋_GB2312" w:hAnsi="仿宋" w:eastAsia="仿宋_GB2312" w:cs="仿宋"/>
          <w:b/>
          <w:sz w:val="32"/>
          <w:szCs w:val="32"/>
        </w:rPr>
        <w:t>三是</w:t>
      </w:r>
      <w:r>
        <w:rPr>
          <w:rFonts w:hint="eastAsia" w:ascii="仿宋_GB2312" w:hAnsi="仿宋" w:eastAsia="仿宋_GB2312" w:cs="仿宋"/>
          <w:b/>
          <w:sz w:val="32"/>
          <w:szCs w:val="32"/>
          <w:lang w:eastAsia="zh-CN"/>
        </w:rPr>
        <w:t>检查</w:t>
      </w:r>
      <w:r>
        <w:rPr>
          <w:rFonts w:hint="eastAsia" w:ascii="仿宋_GB2312" w:hAnsi="仿宋" w:eastAsia="仿宋_GB2312" w:cs="仿宋"/>
          <w:b/>
          <w:sz w:val="32"/>
          <w:szCs w:val="32"/>
        </w:rPr>
        <w:t>督查。</w:t>
      </w:r>
      <w:r>
        <w:rPr>
          <w:rFonts w:hint="eastAsia" w:ascii="仿宋_GB2312" w:hAnsi="仿宋" w:eastAsia="仿宋_GB2312" w:cs="仿宋"/>
          <w:sz w:val="32"/>
          <w:szCs w:val="32"/>
        </w:rPr>
        <w:t>严格</w:t>
      </w:r>
      <w:r>
        <w:rPr>
          <w:rFonts w:hint="eastAsia" w:ascii="仿宋_GB2312" w:hAnsi="仿宋" w:eastAsia="仿宋_GB2312" w:cs="仿宋"/>
          <w:sz w:val="32"/>
          <w:szCs w:val="32"/>
          <w:lang w:eastAsia="zh-CN"/>
        </w:rPr>
        <w:t>落实</w:t>
      </w:r>
      <w:r>
        <w:rPr>
          <w:rFonts w:hint="eastAsia" w:ascii="仿宋_GB2312" w:hAnsi="仿宋" w:eastAsia="仿宋_GB2312" w:cs="仿宋"/>
          <w:sz w:val="32"/>
          <w:szCs w:val="32"/>
        </w:rPr>
        <w:t>各科室人员的岗位责任制、政务公开信息每月申报制等规章制度，</w:t>
      </w:r>
      <w:r>
        <w:rPr>
          <w:rFonts w:hint="eastAsia" w:ascii="仿宋_GB2312" w:hAnsi="仿宋_GB2312" w:eastAsia="仿宋_GB2312" w:cs="仿宋_GB2312"/>
          <w:kern w:val="2"/>
          <w:sz w:val="32"/>
          <w:szCs w:val="32"/>
        </w:rPr>
        <w:t>建立相应的监督机制，保证监督力量到位。一方面</w:t>
      </w:r>
      <w:r>
        <w:rPr>
          <w:rFonts w:hint="eastAsia" w:ascii="仿宋_GB2312" w:hAnsi="仿宋_GB2312" w:eastAsia="仿宋_GB2312" w:cs="仿宋_GB2312"/>
          <w:kern w:val="2"/>
          <w:sz w:val="32"/>
          <w:szCs w:val="32"/>
          <w:lang w:eastAsia="zh-CN"/>
        </w:rPr>
        <w:t>开展</w:t>
      </w:r>
      <w:r>
        <w:rPr>
          <w:rFonts w:hint="eastAsia" w:ascii="仿宋_GB2312" w:hAnsi="仿宋" w:eastAsia="仿宋_GB2312" w:cs="仿宋"/>
          <w:sz w:val="32"/>
          <w:szCs w:val="32"/>
        </w:rPr>
        <w:t>办公室自查和纪工委督查相结合的形式</w:t>
      </w:r>
      <w:r>
        <w:rPr>
          <w:rFonts w:hint="eastAsia" w:ascii="仿宋_GB2312" w:hAnsi="仿宋" w:eastAsia="仿宋_GB2312" w:cs="仿宋"/>
          <w:sz w:val="32"/>
          <w:szCs w:val="32"/>
          <w:lang w:eastAsia="zh-CN"/>
        </w:rPr>
        <w:t>，</w:t>
      </w:r>
      <w:r>
        <w:rPr>
          <w:rFonts w:hint="eastAsia" w:ascii="仿宋_GB2312" w:hAnsi="仿宋_GB2312" w:eastAsia="仿宋_GB2312" w:cs="仿宋_GB2312"/>
          <w:kern w:val="2"/>
          <w:sz w:val="32"/>
          <w:szCs w:val="32"/>
        </w:rPr>
        <w:t>负责对政府信息公开情况进行监督，开展经常性的检查。另一方面自觉接受</w:t>
      </w:r>
      <w:r>
        <w:rPr>
          <w:rFonts w:hint="eastAsia" w:ascii="仿宋_GB2312" w:hAnsi="仿宋_GB2312" w:eastAsia="仿宋_GB2312" w:cs="仿宋_GB2312"/>
          <w:kern w:val="2"/>
          <w:sz w:val="32"/>
          <w:szCs w:val="32"/>
          <w:lang w:eastAsia="zh-CN"/>
        </w:rPr>
        <w:t>街道人大</w:t>
      </w:r>
      <w:r>
        <w:rPr>
          <w:rFonts w:hint="eastAsia" w:ascii="仿宋_GB2312" w:hAnsi="仿宋_GB2312" w:eastAsia="仿宋_GB2312" w:cs="仿宋_GB2312"/>
          <w:kern w:val="2"/>
          <w:sz w:val="32"/>
          <w:szCs w:val="32"/>
        </w:rPr>
        <w:t>的监督，</w:t>
      </w:r>
      <w:r>
        <w:rPr>
          <w:rFonts w:hint="eastAsia" w:ascii="仿宋_GB2312" w:hAnsi="仿宋" w:eastAsia="仿宋_GB2312" w:cs="仿宋"/>
          <w:sz w:val="32"/>
          <w:szCs w:val="32"/>
        </w:rPr>
        <w:t>及时发现问题并进行整改，保证政务公开工作高质量、高标准、严要求的进行。</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3" w:firstLineChars="200"/>
        <w:textAlignment w:val="auto"/>
        <w:rPr>
          <w:rFonts w:hint="eastAsia" w:ascii="楷体_GB2312" w:eastAsia="楷体_GB2312"/>
          <w:b/>
          <w:sz w:val="32"/>
          <w:szCs w:val="32"/>
        </w:rPr>
      </w:pPr>
      <w:r>
        <w:rPr>
          <w:rFonts w:hint="eastAsia" w:ascii="楷体_GB2312" w:eastAsia="楷体_GB2312"/>
          <w:b/>
          <w:sz w:val="32"/>
          <w:szCs w:val="32"/>
          <w:lang w:eastAsia="zh-CN"/>
        </w:rPr>
        <w:t>（二）紧盯重点领域，做到全面公开</w:t>
      </w:r>
      <w:r>
        <w:rPr>
          <w:rFonts w:hint="eastAsia" w:ascii="楷体_GB2312" w:eastAsia="楷体_GB2312"/>
          <w:b/>
          <w:sz w:val="32"/>
          <w:szCs w:val="32"/>
        </w:rPr>
        <w:t>。</w:t>
      </w:r>
      <w:r>
        <w:rPr>
          <w:rFonts w:hint="eastAsia" w:ascii="仿宋_GB2312" w:eastAsia="仿宋_GB2312"/>
          <w:sz w:val="32"/>
          <w:szCs w:val="32"/>
        </w:rPr>
        <w:t>今年以来，</w:t>
      </w:r>
      <w:r>
        <w:rPr>
          <w:rFonts w:hint="eastAsia" w:ascii="仿宋_GB2312" w:eastAsia="仿宋_GB2312"/>
          <w:sz w:val="32"/>
          <w:szCs w:val="32"/>
          <w:lang w:eastAsia="zh-CN"/>
        </w:rPr>
        <w:t>浦口街道</w:t>
      </w:r>
      <w:r>
        <w:rPr>
          <w:rFonts w:hint="eastAsia" w:ascii="仿宋_GB2312" w:hAnsi="仿宋" w:eastAsia="仿宋_GB2312" w:cs="仿宋"/>
          <w:sz w:val="32"/>
          <w:szCs w:val="32"/>
        </w:rPr>
        <w:t>坚持把</w:t>
      </w:r>
      <w:r>
        <w:rPr>
          <w:rFonts w:hint="eastAsia" w:ascii="仿宋_GB2312" w:hAnsi="仿宋" w:eastAsia="仿宋_GB2312" w:cs="仿宋"/>
          <w:sz w:val="32"/>
          <w:szCs w:val="32"/>
          <w:lang w:eastAsia="zh-CN"/>
        </w:rPr>
        <w:t>围绕推进治理能力现代化加强用权公开、围绕“六稳”“六保”加强政策发布解读、围绕优化营商环境加强政务信息公开和落实《条例》等</w:t>
      </w:r>
      <w:r>
        <w:rPr>
          <w:rFonts w:hint="eastAsia" w:ascii="仿宋_GB2312" w:hAnsi="仿宋_GB2312" w:eastAsia="仿宋_GB2312" w:cs="仿宋_GB2312"/>
          <w:kern w:val="2"/>
          <w:sz w:val="32"/>
          <w:szCs w:val="32"/>
          <w:lang w:eastAsia="zh-CN"/>
        </w:rPr>
        <w:t>上级</w:t>
      </w:r>
      <w:r>
        <w:rPr>
          <w:rFonts w:hint="eastAsia" w:ascii="仿宋_GB2312" w:hAnsi="仿宋_GB2312" w:eastAsia="仿宋_GB2312" w:cs="仿宋_GB2312"/>
          <w:kern w:val="2"/>
          <w:sz w:val="32"/>
          <w:szCs w:val="32"/>
        </w:rPr>
        <w:t>有关部门确定的政府信息公开内容的基础上，结合实际，把群众最关心</w:t>
      </w:r>
      <w:r>
        <w:rPr>
          <w:rFonts w:hint="eastAsia" w:ascii="仿宋_GB2312" w:hAnsi="仿宋_GB2312" w:eastAsia="仿宋_GB2312" w:cs="仿宋_GB2312"/>
          <w:kern w:val="2"/>
          <w:sz w:val="32"/>
          <w:szCs w:val="32"/>
          <w:lang w:eastAsia="zh-CN"/>
        </w:rPr>
        <w:t>、</w:t>
      </w:r>
      <w:r>
        <w:rPr>
          <w:rFonts w:hint="eastAsia" w:ascii="仿宋_GB2312" w:hAnsi="仿宋_GB2312" w:eastAsia="仿宋_GB2312" w:cs="仿宋_GB2312"/>
          <w:kern w:val="2"/>
          <w:sz w:val="32"/>
          <w:szCs w:val="32"/>
        </w:rPr>
        <w:t>与群众关系最密切的</w:t>
      </w:r>
      <w:r>
        <w:rPr>
          <w:rFonts w:hint="eastAsia" w:ascii="仿宋_GB2312" w:hAnsi="仿宋_GB2312" w:eastAsia="仿宋_GB2312" w:cs="仿宋_GB2312"/>
          <w:kern w:val="2"/>
          <w:sz w:val="32"/>
          <w:szCs w:val="32"/>
          <w:lang w:eastAsia="zh-CN"/>
        </w:rPr>
        <w:t>“</w:t>
      </w:r>
      <w:r>
        <w:rPr>
          <w:rFonts w:hint="eastAsia" w:ascii="仿宋_GB2312" w:hAnsi="仿宋" w:eastAsia="仿宋_GB2312" w:cs="仿宋"/>
          <w:sz w:val="32"/>
          <w:szCs w:val="32"/>
        </w:rPr>
        <w:t>事权</w:t>
      </w:r>
      <w:r>
        <w:rPr>
          <w:rFonts w:hint="eastAsia" w:ascii="仿宋_GB2312" w:hAnsi="仿宋_GB2312" w:eastAsia="仿宋_GB2312" w:cs="仿宋_GB2312"/>
          <w:kern w:val="2"/>
          <w:sz w:val="32"/>
          <w:szCs w:val="32"/>
          <w:lang w:eastAsia="zh-CN"/>
        </w:rPr>
        <w:t>”</w:t>
      </w:r>
      <w:r>
        <w:rPr>
          <w:rFonts w:hint="eastAsia" w:ascii="仿宋_GB2312" w:hAnsi="仿宋" w:eastAsia="仿宋_GB2312" w:cs="仿宋"/>
          <w:sz w:val="32"/>
          <w:szCs w:val="32"/>
        </w:rPr>
        <w:t>、</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rPr>
        <w:t>财权</w:t>
      </w:r>
      <w:r>
        <w:rPr>
          <w:rFonts w:hint="eastAsia" w:ascii="仿宋_GB2312" w:hAnsi="仿宋" w:eastAsia="仿宋_GB2312" w:cs="仿宋"/>
          <w:sz w:val="32"/>
          <w:szCs w:val="32"/>
          <w:lang w:eastAsia="zh-CN"/>
        </w:rPr>
        <w:t>”、“用人权”等</w:t>
      </w:r>
      <w:r>
        <w:rPr>
          <w:rFonts w:hint="eastAsia" w:ascii="仿宋_GB2312" w:hAnsi="仿宋_GB2312" w:eastAsia="仿宋_GB2312" w:cs="仿宋_GB2312"/>
          <w:kern w:val="2"/>
          <w:sz w:val="32"/>
          <w:szCs w:val="32"/>
        </w:rPr>
        <w:t>工作作为政府信息公开的重点，做到及时公开政府工作办事结果</w:t>
      </w:r>
      <w:r>
        <w:rPr>
          <w:rFonts w:hint="eastAsia" w:ascii="仿宋_GB2312" w:hAnsi="仿宋_GB2312" w:eastAsia="仿宋_GB2312" w:cs="仿宋_GB2312"/>
          <w:kern w:val="2"/>
          <w:sz w:val="32"/>
          <w:szCs w:val="32"/>
          <w:lang w:eastAsia="zh-CN"/>
        </w:rPr>
        <w:t>，</w:t>
      </w:r>
      <w:r>
        <w:rPr>
          <w:rFonts w:hint="eastAsia" w:ascii="仿宋_GB2312" w:hAnsi="仿宋" w:eastAsia="仿宋_GB2312" w:cs="仿宋"/>
          <w:sz w:val="32"/>
          <w:szCs w:val="32"/>
          <w:lang w:eastAsia="zh-CN"/>
        </w:rPr>
        <w:t>做到信息公开和便民服务两手抓，通过</w:t>
      </w:r>
      <w:r>
        <w:rPr>
          <w:rFonts w:hint="eastAsia" w:ascii="仿宋_GB2312" w:hAnsi="仿宋_GB2312" w:eastAsia="仿宋_GB2312" w:cs="仿宋_GB2312"/>
          <w:kern w:val="2"/>
          <w:sz w:val="32"/>
          <w:szCs w:val="32"/>
          <w:lang w:eastAsia="zh-CN"/>
        </w:rPr>
        <w:t>嵊州市政府门户网站、爱嵊州</w:t>
      </w:r>
      <w:r>
        <w:rPr>
          <w:rFonts w:hint="eastAsia" w:ascii="仿宋_GB2312" w:hAnsi="仿宋_GB2312" w:eastAsia="仿宋_GB2312" w:cs="仿宋_GB2312"/>
          <w:kern w:val="2"/>
          <w:sz w:val="32"/>
          <w:szCs w:val="32"/>
          <w:lang w:val="en-US" w:eastAsia="zh-CN"/>
        </w:rPr>
        <w:t>APP等</w:t>
      </w:r>
      <w:r>
        <w:rPr>
          <w:rFonts w:hint="eastAsia" w:ascii="仿宋_GB2312" w:hAnsi="仿宋_GB2312" w:eastAsia="仿宋_GB2312" w:cs="仿宋_GB2312"/>
          <w:kern w:val="2"/>
          <w:sz w:val="32"/>
          <w:szCs w:val="32"/>
        </w:rPr>
        <w:t>主动公开相关政务信息</w:t>
      </w:r>
      <w:r>
        <w:rPr>
          <w:rFonts w:hint="eastAsia" w:ascii="仿宋_GB2312" w:hAnsi="仿宋_GB2312" w:eastAsia="仿宋_GB2312" w:cs="仿宋_GB2312"/>
          <w:kern w:val="2"/>
          <w:sz w:val="32"/>
          <w:szCs w:val="32"/>
          <w:lang w:val="en-US" w:eastAsia="zh-CN"/>
        </w:rPr>
        <w:t>196</w:t>
      </w:r>
      <w:r>
        <w:rPr>
          <w:rFonts w:hint="eastAsia" w:ascii="仿宋_GB2312" w:hAnsi="仿宋_GB2312" w:eastAsia="仿宋_GB2312" w:cs="仿宋_GB2312"/>
          <w:kern w:val="2"/>
          <w:sz w:val="32"/>
          <w:szCs w:val="32"/>
        </w:rPr>
        <w:t>条，涉及工作机构</w:t>
      </w:r>
      <w:r>
        <w:rPr>
          <w:rFonts w:hint="eastAsia" w:ascii="仿宋_GB2312" w:hAnsi="仿宋_GB2312" w:eastAsia="仿宋_GB2312" w:cs="仿宋_GB2312"/>
          <w:kern w:val="2"/>
          <w:sz w:val="32"/>
          <w:szCs w:val="32"/>
          <w:lang w:eastAsia="zh-CN"/>
        </w:rPr>
        <w:t>、</w:t>
      </w:r>
      <w:r>
        <w:rPr>
          <w:rFonts w:hint="eastAsia" w:ascii="仿宋_GB2312" w:hAnsi="仿宋_GB2312" w:eastAsia="仿宋_GB2312" w:cs="仿宋_GB2312"/>
          <w:kern w:val="2"/>
          <w:sz w:val="32"/>
          <w:szCs w:val="32"/>
        </w:rPr>
        <w:t>班子成员信息、工作动态、财政预决算、总结计划、公告通告、办事指南、通知方案等各方面内容，进一步的</w:t>
      </w:r>
      <w:r>
        <w:rPr>
          <w:rFonts w:hint="eastAsia" w:ascii="仿宋_GB2312" w:eastAsia="仿宋_GB2312"/>
          <w:sz w:val="32"/>
          <w:szCs w:val="32"/>
        </w:rPr>
        <w:t>丰富主动公开的内容。</w:t>
      </w:r>
    </w:p>
    <w:p>
      <w:pPr>
        <w:keepNext w:val="0"/>
        <w:keepLines w:val="0"/>
        <w:pageBreakBefore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 w:eastAsia="仿宋_GB2312" w:cs="仿宋"/>
          <w:sz w:val="32"/>
          <w:szCs w:val="32"/>
        </w:rPr>
      </w:pPr>
      <w:r>
        <w:rPr>
          <w:rFonts w:hint="eastAsia" w:ascii="楷体_GB2312" w:eastAsia="楷体_GB2312"/>
          <w:b/>
          <w:sz w:val="32"/>
          <w:szCs w:val="32"/>
          <w:lang w:eastAsia="zh-CN"/>
        </w:rPr>
        <w:t>（三）</w:t>
      </w:r>
      <w:r>
        <w:rPr>
          <w:rFonts w:hint="eastAsia" w:ascii="楷体_GB2312" w:eastAsia="楷体_GB2312"/>
          <w:b/>
          <w:sz w:val="32"/>
          <w:szCs w:val="32"/>
        </w:rPr>
        <w:t>拓展公开形式</w:t>
      </w:r>
      <w:r>
        <w:rPr>
          <w:rFonts w:hint="eastAsia" w:ascii="楷体_GB2312" w:eastAsia="楷体_GB2312"/>
          <w:b/>
          <w:sz w:val="32"/>
          <w:szCs w:val="32"/>
          <w:lang w:eastAsia="zh-CN"/>
        </w:rPr>
        <w:t>，严格规范程序。</w:t>
      </w:r>
      <w:r>
        <w:rPr>
          <w:rFonts w:hint="eastAsia" w:ascii="仿宋_GB2312" w:hAnsi="仿宋_GB2312" w:eastAsia="仿宋_GB2312" w:cs="仿宋_GB2312"/>
          <w:kern w:val="2"/>
          <w:sz w:val="32"/>
          <w:szCs w:val="32"/>
          <w:lang w:eastAsia="zh-CN"/>
        </w:rPr>
        <w:t>我街道</w:t>
      </w:r>
      <w:r>
        <w:rPr>
          <w:rFonts w:hint="eastAsia" w:ascii="仿宋_GB2312" w:hAnsi="仿宋_GB2312" w:eastAsia="仿宋_GB2312" w:cs="仿宋_GB2312"/>
          <w:kern w:val="2"/>
          <w:sz w:val="32"/>
          <w:szCs w:val="32"/>
        </w:rPr>
        <w:t>对政府信息进行规范化的整理、归类并及时在</w:t>
      </w:r>
      <w:r>
        <w:rPr>
          <w:rFonts w:hint="eastAsia" w:ascii="仿宋_GB2312" w:hAnsi="仿宋" w:eastAsia="仿宋_GB2312" w:cs="仿宋"/>
          <w:sz w:val="32"/>
          <w:szCs w:val="32"/>
        </w:rPr>
        <w:t>嵊州市政府门户网站、嵊州新闻网乡镇网闻栏目、微信公众号等</w:t>
      </w:r>
      <w:r>
        <w:rPr>
          <w:rFonts w:hint="eastAsia" w:ascii="仿宋_GB2312" w:hAnsi="仿宋_GB2312" w:eastAsia="仿宋_GB2312" w:cs="仿宋_GB2312"/>
          <w:kern w:val="2"/>
          <w:sz w:val="32"/>
          <w:szCs w:val="32"/>
        </w:rPr>
        <w:t>更新各类政府信息。在办公楼一楼大门上部安置电子显示屏，同时设立</w:t>
      </w:r>
      <w:r>
        <w:rPr>
          <w:rFonts w:hint="eastAsia" w:ascii="仿宋_GB2312" w:hAnsi="仿宋_GB2312" w:eastAsia="仿宋_GB2312" w:cs="仿宋_GB2312"/>
          <w:kern w:val="2"/>
          <w:sz w:val="32"/>
          <w:szCs w:val="32"/>
          <w:lang w:eastAsia="zh-CN"/>
        </w:rPr>
        <w:t>政务公开</w:t>
      </w:r>
      <w:r>
        <w:rPr>
          <w:rFonts w:hint="eastAsia" w:ascii="仿宋_GB2312" w:hAnsi="仿宋_GB2312" w:eastAsia="仿宋_GB2312" w:cs="仿宋_GB2312"/>
          <w:kern w:val="2"/>
          <w:sz w:val="32"/>
          <w:szCs w:val="32"/>
        </w:rPr>
        <w:t>箱、</w:t>
      </w:r>
      <w:r>
        <w:rPr>
          <w:rFonts w:hint="eastAsia" w:ascii="仿宋_GB2312" w:hAnsi="仿宋" w:eastAsia="仿宋_GB2312" w:cs="仿宋"/>
          <w:sz w:val="32"/>
          <w:szCs w:val="32"/>
        </w:rPr>
        <w:t>公开查询电话，接受群众监督，直接听取和受理群众意见。在便民（投资）服务中心张贴并编印办事指南，让企业、群众了解办事程序、时限、收费标准和所需资料等信息</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rPr>
        <w:t>通过召开会议、下发文件、印制政策宣传资料等对形式公开。通过各企业、行政村（社）、小区公告栏进行公开。</w:t>
      </w:r>
      <w:r>
        <w:rPr>
          <w:rFonts w:hint="eastAsia" w:ascii="仿宋_GB2312" w:hAnsi="仿宋" w:eastAsia="仿宋_GB2312" w:cs="仿宋"/>
          <w:sz w:val="32"/>
          <w:szCs w:val="32"/>
          <w:lang w:eastAsia="zh-CN"/>
        </w:rPr>
        <w:t>同时</w:t>
      </w:r>
      <w:r>
        <w:rPr>
          <w:rFonts w:hint="eastAsia" w:ascii="仿宋_GB2312" w:hAnsi="仿宋_GB2312" w:eastAsia="仿宋_GB2312" w:cs="仿宋_GB2312"/>
          <w:kern w:val="2"/>
          <w:sz w:val="32"/>
          <w:szCs w:val="32"/>
        </w:rPr>
        <w:t>明确公开时间</w:t>
      </w:r>
      <w:r>
        <w:rPr>
          <w:rFonts w:hint="eastAsia" w:ascii="仿宋_GB2312" w:hAnsi="仿宋_GB2312" w:eastAsia="仿宋_GB2312" w:cs="仿宋_GB2312"/>
          <w:kern w:val="2"/>
          <w:sz w:val="32"/>
          <w:szCs w:val="32"/>
          <w:lang w:eastAsia="zh-CN"/>
        </w:rPr>
        <w:t>，</w:t>
      </w:r>
      <w:r>
        <w:rPr>
          <w:rFonts w:hint="eastAsia" w:ascii="仿宋_GB2312" w:hAnsi="仿宋_GB2312" w:eastAsia="仿宋_GB2312" w:cs="仿宋_GB2312"/>
          <w:kern w:val="2"/>
          <w:sz w:val="32"/>
          <w:szCs w:val="32"/>
        </w:rPr>
        <w:t>定期公布政务公开信息，门户网站信息每</w:t>
      </w:r>
      <w:r>
        <w:rPr>
          <w:rFonts w:hint="eastAsia" w:ascii="仿宋_GB2312" w:hAnsi="仿宋_GB2312" w:eastAsia="仿宋_GB2312" w:cs="仿宋_GB2312"/>
          <w:kern w:val="2"/>
          <w:sz w:val="32"/>
          <w:szCs w:val="32"/>
          <w:lang w:eastAsia="zh-CN"/>
        </w:rPr>
        <w:t>周</w:t>
      </w:r>
      <w:r>
        <w:rPr>
          <w:rFonts w:hint="eastAsia" w:ascii="仿宋_GB2312" w:hAnsi="仿宋_GB2312" w:eastAsia="仿宋_GB2312" w:cs="仿宋_GB2312"/>
          <w:kern w:val="2"/>
          <w:sz w:val="32"/>
          <w:szCs w:val="32"/>
        </w:rPr>
        <w:t>至少更新一次，重大事项随时公布。完善公开程序</w:t>
      </w:r>
      <w:r>
        <w:rPr>
          <w:rFonts w:hint="eastAsia" w:ascii="仿宋_GB2312" w:hAnsi="仿宋_GB2312" w:eastAsia="仿宋_GB2312" w:cs="仿宋_GB2312"/>
          <w:kern w:val="2"/>
          <w:sz w:val="32"/>
          <w:szCs w:val="32"/>
          <w:lang w:eastAsia="zh-CN"/>
        </w:rPr>
        <w:t>，</w:t>
      </w:r>
      <w:r>
        <w:rPr>
          <w:rFonts w:hint="eastAsia" w:ascii="仿宋_GB2312" w:hAnsi="仿宋_GB2312" w:eastAsia="仿宋_GB2312" w:cs="仿宋_GB2312"/>
          <w:kern w:val="2"/>
          <w:sz w:val="32"/>
          <w:szCs w:val="32"/>
        </w:rPr>
        <w:t>建立了</w:t>
      </w:r>
      <w:r>
        <w:rPr>
          <w:rFonts w:hint="eastAsia" w:ascii="仿宋_GB2312" w:hAnsi="仿宋_GB2312" w:eastAsia="仿宋_GB2312" w:cs="仿宋_GB2312"/>
          <w:kern w:val="2"/>
          <w:sz w:val="32"/>
          <w:szCs w:val="32"/>
          <w:lang w:eastAsia="zh-CN"/>
        </w:rPr>
        <w:t>闭环</w:t>
      </w:r>
      <w:r>
        <w:rPr>
          <w:rFonts w:hint="eastAsia" w:ascii="仿宋_GB2312" w:hAnsi="仿宋_GB2312" w:eastAsia="仿宋_GB2312" w:cs="仿宋_GB2312"/>
          <w:kern w:val="2"/>
          <w:sz w:val="32"/>
          <w:szCs w:val="32"/>
        </w:rPr>
        <w:t>工作程序，做到运转协调，责任明确。公布前，由有关人员做好计划公布的详细内容，然后进行审查核实，再上墙公布。公布后，还要接受群众查询，及时纠正公开中可能出现的错误，保管好公开档案。</w:t>
      </w:r>
    </w:p>
    <w:p>
      <w:pPr>
        <w:keepNext w:val="0"/>
        <w:keepLines w:val="0"/>
        <w:pageBreakBefore w:val="0"/>
        <w:kinsoku/>
        <w:wordWrap/>
        <w:overflowPunct/>
        <w:topLinePunct w:val="0"/>
        <w:autoSpaceDE/>
        <w:autoSpaceDN/>
        <w:bidi w:val="0"/>
        <w:adjustRightInd/>
        <w:snapToGrid/>
        <w:spacing w:line="560" w:lineRule="exact"/>
        <w:ind w:firstLine="645"/>
        <w:textAlignment w:val="auto"/>
        <w:rPr>
          <w:rFonts w:hint="eastAsia" w:ascii="黑体" w:hAnsi="黑体" w:eastAsia="黑体" w:cs="仿宋"/>
          <w:sz w:val="32"/>
          <w:szCs w:val="32"/>
        </w:rPr>
      </w:pPr>
      <w:r>
        <w:rPr>
          <w:rFonts w:hint="eastAsia" w:ascii="黑体" w:hAnsi="黑体" w:eastAsia="黑体" w:cs="仿宋"/>
          <w:sz w:val="32"/>
          <w:szCs w:val="32"/>
        </w:rPr>
        <w:t>二、存在的不足</w:t>
      </w:r>
    </w:p>
    <w:p>
      <w:pPr>
        <w:keepNext w:val="0"/>
        <w:keepLines w:val="0"/>
        <w:pageBreakBefore w:val="0"/>
        <w:kinsoku/>
        <w:wordWrap/>
        <w:overflowPunct/>
        <w:topLinePunct w:val="0"/>
        <w:autoSpaceDE/>
        <w:autoSpaceDN/>
        <w:bidi w:val="0"/>
        <w:adjustRightInd/>
        <w:snapToGrid/>
        <w:spacing w:line="560" w:lineRule="exact"/>
        <w:ind w:firstLine="645"/>
        <w:textAlignment w:val="auto"/>
        <w:rPr>
          <w:rFonts w:hint="eastAsia" w:ascii="仿宋_GB2312" w:hAnsi="仿宋_GB2312" w:eastAsia="仿宋_GB2312" w:cs="仿宋_GB2312"/>
          <w:kern w:val="2"/>
          <w:sz w:val="32"/>
          <w:szCs w:val="32"/>
        </w:rPr>
      </w:pPr>
      <w:r>
        <w:rPr>
          <w:rFonts w:hint="eastAsia" w:ascii="仿宋_GB2312" w:hAnsi="黑体" w:eastAsia="仿宋_GB2312" w:cs="仿宋"/>
          <w:sz w:val="32"/>
          <w:szCs w:val="32"/>
          <w:lang w:val="en-US" w:eastAsia="zh-CN"/>
        </w:rPr>
        <w:t>2020</w:t>
      </w:r>
      <w:r>
        <w:rPr>
          <w:rFonts w:hint="eastAsia" w:ascii="仿宋_GB2312" w:hAnsi="黑体" w:eastAsia="仿宋_GB2312" w:cs="仿宋"/>
          <w:sz w:val="32"/>
          <w:szCs w:val="32"/>
        </w:rPr>
        <w:t>年</w:t>
      </w:r>
      <w:r>
        <w:rPr>
          <w:rFonts w:hint="eastAsia" w:ascii="仿宋_GB2312" w:hAnsi="黑体" w:eastAsia="仿宋_GB2312" w:cs="仿宋"/>
          <w:sz w:val="32"/>
          <w:szCs w:val="32"/>
          <w:lang w:eastAsia="zh-CN"/>
        </w:rPr>
        <w:t>浦口街道</w:t>
      </w:r>
      <w:r>
        <w:rPr>
          <w:rFonts w:hint="eastAsia" w:ascii="仿宋_GB2312" w:hAnsi="黑体" w:eastAsia="仿宋_GB2312" w:cs="仿宋"/>
          <w:sz w:val="32"/>
          <w:szCs w:val="32"/>
        </w:rPr>
        <w:t>政务公开工作虽然取得了一定的成绩，但离上级的要求和群众的期望还有差距，主要表现为：</w:t>
      </w:r>
      <w:r>
        <w:rPr>
          <w:rFonts w:hint="eastAsia" w:ascii="仿宋_GB2312" w:hAnsi="黑体" w:eastAsia="仿宋_GB2312" w:cs="仿宋"/>
          <w:b/>
          <w:sz w:val="32"/>
          <w:szCs w:val="32"/>
        </w:rPr>
        <w:t>一是</w:t>
      </w:r>
      <w:r>
        <w:rPr>
          <w:rFonts w:hint="eastAsia" w:ascii="仿宋_GB2312" w:hAnsi="黑体" w:eastAsia="仿宋_GB2312" w:cs="仿宋"/>
          <w:b/>
          <w:sz w:val="32"/>
          <w:szCs w:val="32"/>
          <w:lang w:eastAsia="zh-CN"/>
        </w:rPr>
        <w:t>思想认识有待提高。</w:t>
      </w:r>
      <w:r>
        <w:rPr>
          <w:rFonts w:hint="eastAsia" w:ascii="仿宋_GB2312" w:hAnsi="黑体" w:eastAsia="仿宋_GB2312" w:cs="仿宋"/>
          <w:sz w:val="32"/>
          <w:szCs w:val="32"/>
        </w:rPr>
        <w:t>少数干部对政务公开的重要性认</w:t>
      </w:r>
      <w:r>
        <w:rPr>
          <w:rFonts w:hint="eastAsia" w:ascii="仿宋_GB2312" w:hAnsi="仿宋_GB2312" w:eastAsia="仿宋_GB2312" w:cs="仿宋_GB2312"/>
          <w:kern w:val="2"/>
          <w:sz w:val="32"/>
          <w:szCs w:val="32"/>
        </w:rPr>
        <w:t>识不足，工作主动性有待加强。</w:t>
      </w:r>
      <w:r>
        <w:rPr>
          <w:rFonts w:hint="eastAsia" w:ascii="仿宋_GB2312" w:hAnsi="仿宋_GB2312" w:eastAsia="仿宋_GB2312" w:cs="仿宋_GB2312"/>
          <w:b/>
          <w:bCs/>
          <w:kern w:val="2"/>
          <w:sz w:val="32"/>
          <w:szCs w:val="32"/>
        </w:rPr>
        <w:t>二是公开内容</w:t>
      </w:r>
      <w:r>
        <w:rPr>
          <w:rFonts w:hint="eastAsia" w:ascii="仿宋_GB2312" w:hAnsi="仿宋_GB2312" w:eastAsia="仿宋_GB2312" w:cs="仿宋_GB2312"/>
          <w:b/>
          <w:bCs/>
          <w:kern w:val="2"/>
          <w:sz w:val="32"/>
          <w:szCs w:val="32"/>
          <w:lang w:eastAsia="zh-CN"/>
        </w:rPr>
        <w:t>有待丰富。</w:t>
      </w:r>
      <w:r>
        <w:rPr>
          <w:rFonts w:hint="eastAsia" w:ascii="仿宋_GB2312" w:hAnsi="仿宋_GB2312" w:eastAsia="仿宋_GB2312" w:cs="仿宋_GB2312"/>
          <w:kern w:val="2"/>
          <w:sz w:val="32"/>
          <w:szCs w:val="32"/>
        </w:rPr>
        <w:t>内容还偏重于发布文件、工作动态等信息</w:t>
      </w:r>
      <w:r>
        <w:rPr>
          <w:rFonts w:hint="eastAsia" w:ascii="仿宋_GB2312" w:hAnsi="仿宋_GB2312" w:eastAsia="仿宋_GB2312" w:cs="仿宋_GB2312"/>
          <w:kern w:val="2"/>
          <w:sz w:val="32"/>
          <w:szCs w:val="32"/>
          <w:lang w:eastAsia="zh-CN"/>
        </w:rPr>
        <w:t>，</w:t>
      </w:r>
      <w:r>
        <w:rPr>
          <w:rFonts w:hint="eastAsia" w:ascii="仿宋_GB2312" w:hAnsi="仿宋_GB2312" w:eastAsia="仿宋_GB2312" w:cs="仿宋_GB2312"/>
          <w:sz w:val="32"/>
          <w:szCs w:val="32"/>
        </w:rPr>
        <w:t>政府信息公开的</w:t>
      </w:r>
      <w:r>
        <w:rPr>
          <w:rFonts w:hint="eastAsia" w:ascii="仿宋_GB2312" w:hAnsi="仿宋_GB2312" w:eastAsia="仿宋_GB2312" w:cs="仿宋_GB2312"/>
          <w:sz w:val="32"/>
          <w:szCs w:val="32"/>
          <w:lang w:eastAsia="zh-CN"/>
        </w:rPr>
        <w:t>广泛性、全面性</w:t>
      </w:r>
      <w:r>
        <w:rPr>
          <w:rFonts w:hint="eastAsia" w:ascii="仿宋_GB2312" w:hAnsi="仿宋_GB2312" w:eastAsia="仿宋_GB2312" w:cs="仿宋_GB2312"/>
          <w:sz w:val="32"/>
          <w:szCs w:val="32"/>
        </w:rPr>
        <w:t>有待进一步拓展</w:t>
      </w:r>
      <w:r>
        <w:rPr>
          <w:rFonts w:hint="eastAsia" w:ascii="仿宋_GB2312" w:hAnsi="仿宋_GB2312" w:eastAsia="仿宋_GB2312" w:cs="仿宋_GB2312"/>
          <w:kern w:val="2"/>
          <w:sz w:val="32"/>
          <w:szCs w:val="32"/>
        </w:rPr>
        <w:t>。</w:t>
      </w:r>
      <w:r>
        <w:rPr>
          <w:rFonts w:hint="eastAsia" w:ascii="仿宋_GB2312" w:hAnsi="仿宋_GB2312" w:eastAsia="仿宋_GB2312" w:cs="仿宋_GB2312"/>
          <w:b/>
          <w:bCs/>
          <w:kern w:val="2"/>
          <w:sz w:val="32"/>
          <w:szCs w:val="32"/>
        </w:rPr>
        <w:t>三是队伍建设</w:t>
      </w:r>
      <w:r>
        <w:rPr>
          <w:rFonts w:hint="eastAsia" w:ascii="仿宋_GB2312" w:hAnsi="仿宋_GB2312" w:eastAsia="仿宋_GB2312" w:cs="仿宋_GB2312"/>
          <w:b/>
          <w:bCs/>
          <w:kern w:val="2"/>
          <w:sz w:val="32"/>
          <w:szCs w:val="32"/>
          <w:lang w:eastAsia="zh-CN"/>
        </w:rPr>
        <w:t>有待加强。</w:t>
      </w:r>
      <w:r>
        <w:rPr>
          <w:rFonts w:hint="eastAsia" w:ascii="仿宋_GB2312" w:hAnsi="仿宋_GB2312" w:eastAsia="仿宋_GB2312" w:cs="仿宋_GB2312"/>
          <w:sz w:val="32"/>
          <w:szCs w:val="32"/>
        </w:rPr>
        <w:t>政府信息公开工作专职人员少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kern w:val="2"/>
          <w:sz w:val="32"/>
          <w:szCs w:val="32"/>
        </w:rPr>
        <w:t>专业知识不足，对有的内容是否应该公开把握不精准，特别是遇到依申请公开的事项，工作人员有时因缺乏相关专业知识，处理、答复、回应及时规范。</w:t>
      </w:r>
    </w:p>
    <w:p>
      <w:pPr>
        <w:keepNext w:val="0"/>
        <w:keepLines w:val="0"/>
        <w:pageBreakBefore w:val="0"/>
        <w:kinsoku/>
        <w:wordWrap/>
        <w:overflowPunct/>
        <w:topLinePunct w:val="0"/>
        <w:autoSpaceDE/>
        <w:autoSpaceDN/>
        <w:bidi w:val="0"/>
        <w:adjustRightInd/>
        <w:snapToGrid/>
        <w:spacing w:line="560" w:lineRule="exact"/>
        <w:ind w:firstLine="645"/>
        <w:textAlignment w:val="auto"/>
        <w:rPr>
          <w:rFonts w:hint="eastAsia" w:ascii="仿宋_GB2312" w:hAnsi="仿宋_GB2312" w:eastAsia="仿宋_GB2312" w:cs="仿宋_GB2312"/>
          <w:kern w:val="2"/>
          <w:sz w:val="32"/>
          <w:szCs w:val="32"/>
        </w:rPr>
      </w:pPr>
    </w:p>
    <w:p>
      <w:pPr>
        <w:keepNext w:val="0"/>
        <w:keepLines w:val="0"/>
        <w:pageBreakBefore w:val="0"/>
        <w:kinsoku/>
        <w:wordWrap/>
        <w:overflowPunct/>
        <w:topLinePunct w:val="0"/>
        <w:autoSpaceDE/>
        <w:autoSpaceDN/>
        <w:bidi w:val="0"/>
        <w:adjustRightInd/>
        <w:snapToGrid/>
        <w:spacing w:line="560" w:lineRule="exact"/>
        <w:ind w:firstLine="645"/>
        <w:textAlignment w:val="auto"/>
        <w:rPr>
          <w:rFonts w:hint="eastAsia" w:ascii="仿宋_GB2312" w:hAnsi="仿宋_GB2312" w:eastAsia="仿宋_GB2312" w:cs="仿宋_GB2312"/>
          <w:kern w:val="2"/>
          <w:sz w:val="32"/>
          <w:szCs w:val="32"/>
        </w:rPr>
      </w:pPr>
    </w:p>
    <w:p>
      <w:pPr>
        <w:keepNext w:val="0"/>
        <w:keepLines w:val="0"/>
        <w:pageBreakBefore w:val="0"/>
        <w:kinsoku/>
        <w:wordWrap/>
        <w:overflowPunct/>
        <w:topLinePunct w:val="0"/>
        <w:autoSpaceDE/>
        <w:autoSpaceDN/>
        <w:bidi w:val="0"/>
        <w:adjustRightInd/>
        <w:snapToGrid/>
        <w:spacing w:line="560" w:lineRule="exact"/>
        <w:ind w:firstLine="645"/>
        <w:textAlignment w:val="auto"/>
        <w:rPr>
          <w:rFonts w:hint="eastAsia" w:ascii="仿宋_GB2312" w:hAnsi="仿宋_GB2312" w:eastAsia="仿宋_GB2312" w:cs="仿宋_GB2312"/>
          <w:kern w:val="2"/>
          <w:sz w:val="32"/>
          <w:szCs w:val="32"/>
        </w:rPr>
      </w:pPr>
    </w:p>
    <w:p>
      <w:pPr>
        <w:keepNext w:val="0"/>
        <w:keepLines w:val="0"/>
        <w:pageBreakBefore w:val="0"/>
        <w:kinsoku/>
        <w:wordWrap/>
        <w:overflowPunct/>
        <w:topLinePunct w:val="0"/>
        <w:autoSpaceDE/>
        <w:autoSpaceDN/>
        <w:bidi w:val="0"/>
        <w:adjustRightInd/>
        <w:snapToGrid/>
        <w:spacing w:line="560" w:lineRule="exact"/>
        <w:ind w:firstLine="645"/>
        <w:textAlignment w:val="auto"/>
        <w:rPr>
          <w:rFonts w:hint="eastAsia" w:ascii="仿宋_GB2312" w:hAnsi="仿宋_GB2312" w:eastAsia="仿宋_GB2312" w:cs="仿宋_GB2312"/>
          <w:kern w:val="2"/>
          <w:sz w:val="32"/>
          <w:szCs w:val="32"/>
        </w:rPr>
      </w:pPr>
    </w:p>
    <w:p>
      <w:pPr>
        <w:keepNext w:val="0"/>
        <w:keepLines w:val="0"/>
        <w:pageBreakBefore w:val="0"/>
        <w:kinsoku/>
        <w:wordWrap/>
        <w:overflowPunct/>
        <w:topLinePunct w:val="0"/>
        <w:autoSpaceDE/>
        <w:autoSpaceDN/>
        <w:bidi w:val="0"/>
        <w:adjustRightInd/>
        <w:snapToGrid/>
        <w:spacing w:line="560" w:lineRule="exact"/>
        <w:ind w:firstLine="645"/>
        <w:textAlignment w:val="auto"/>
        <w:rPr>
          <w:rFonts w:hint="eastAsia" w:ascii="仿宋_GB2312" w:hAnsi="仿宋_GB2312" w:eastAsia="仿宋_GB2312" w:cs="仿宋_GB2312"/>
          <w:kern w:val="2"/>
          <w:sz w:val="32"/>
          <w:szCs w:val="32"/>
        </w:rPr>
      </w:pPr>
    </w:p>
    <w:p>
      <w:pPr>
        <w:keepNext w:val="0"/>
        <w:keepLines w:val="0"/>
        <w:pageBreakBefore w:val="0"/>
        <w:kinsoku/>
        <w:wordWrap/>
        <w:overflowPunct/>
        <w:topLinePunct w:val="0"/>
        <w:autoSpaceDE/>
        <w:autoSpaceDN/>
        <w:bidi w:val="0"/>
        <w:adjustRightInd/>
        <w:snapToGrid/>
        <w:spacing w:line="560" w:lineRule="exact"/>
        <w:ind w:firstLine="645"/>
        <w:textAlignment w:val="auto"/>
        <w:rPr>
          <w:rFonts w:hint="eastAsia" w:ascii="仿宋_GB2312" w:hAnsi="仿宋_GB2312" w:eastAsia="仿宋_GB2312" w:cs="仿宋_GB2312"/>
          <w:kern w:val="2"/>
          <w:sz w:val="32"/>
          <w:szCs w:val="32"/>
        </w:rPr>
      </w:pPr>
    </w:p>
    <w:p>
      <w:pPr>
        <w:keepNext w:val="0"/>
        <w:keepLines w:val="0"/>
        <w:pageBreakBefore w:val="0"/>
        <w:kinsoku/>
        <w:wordWrap/>
        <w:overflowPunct/>
        <w:topLinePunct w:val="0"/>
        <w:autoSpaceDE/>
        <w:autoSpaceDN/>
        <w:bidi w:val="0"/>
        <w:adjustRightInd/>
        <w:snapToGrid/>
        <w:spacing w:line="560" w:lineRule="exact"/>
        <w:ind w:firstLine="645"/>
        <w:textAlignment w:val="auto"/>
        <w:rPr>
          <w:rFonts w:hint="eastAsia" w:ascii="仿宋_GB2312" w:hAnsi="仿宋_GB2312" w:eastAsia="仿宋_GB2312" w:cs="仿宋_GB2312"/>
          <w:kern w:val="2"/>
          <w:sz w:val="32"/>
          <w:szCs w:val="32"/>
        </w:rPr>
      </w:pPr>
    </w:p>
    <w:p>
      <w:pPr>
        <w:keepNext w:val="0"/>
        <w:keepLines w:val="0"/>
        <w:pageBreakBefore w:val="0"/>
        <w:kinsoku/>
        <w:wordWrap/>
        <w:overflowPunct/>
        <w:topLinePunct w:val="0"/>
        <w:autoSpaceDE/>
        <w:autoSpaceDN/>
        <w:bidi w:val="0"/>
        <w:adjustRightInd/>
        <w:snapToGrid/>
        <w:spacing w:line="560" w:lineRule="exact"/>
        <w:ind w:firstLine="645"/>
        <w:textAlignment w:val="auto"/>
        <w:rPr>
          <w:rFonts w:hint="eastAsia" w:ascii="仿宋_GB2312" w:hAnsi="仿宋_GB2312" w:eastAsia="仿宋_GB2312" w:cs="仿宋_GB2312"/>
          <w:kern w:val="2"/>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ind w:firstLine="645"/>
        <w:textAlignment w:val="auto"/>
        <w:rPr>
          <w:rFonts w:hint="eastAsia" w:ascii="仿宋_GB2312" w:hAnsi="仿宋_GB2312" w:eastAsia="仿宋_GB2312" w:cs="仿宋_GB2312"/>
          <w:kern w:val="2"/>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ind w:firstLine="645"/>
        <w:textAlignment w:val="auto"/>
        <w:rPr>
          <w:rFonts w:hint="eastAsia" w:ascii="仿宋_GB2312" w:hAnsi="仿宋_GB2312" w:eastAsia="仿宋_GB2312" w:cs="仿宋_GB2312"/>
          <w:kern w:val="2"/>
          <w:sz w:val="32"/>
          <w:szCs w:val="32"/>
          <w:lang w:val="en-US" w:eastAsia="zh-CN"/>
        </w:rPr>
      </w:pPr>
    </w:p>
    <w:tbl>
      <w:tblPr>
        <w:tblStyle w:val="4"/>
        <w:tblW w:w="9340" w:type="dxa"/>
        <w:tblInd w:w="0" w:type="dxa"/>
        <w:shd w:val="clear" w:color="auto" w:fill="auto"/>
        <w:tblLayout w:type="autofit"/>
        <w:tblCellMar>
          <w:top w:w="0" w:type="dxa"/>
          <w:left w:w="0" w:type="dxa"/>
          <w:bottom w:w="0" w:type="dxa"/>
          <w:right w:w="0" w:type="dxa"/>
        </w:tblCellMar>
      </w:tblPr>
      <w:tblGrid>
        <w:gridCol w:w="2830"/>
        <w:gridCol w:w="3110"/>
        <w:gridCol w:w="1537"/>
        <w:gridCol w:w="1863"/>
      </w:tblGrid>
      <w:tr>
        <w:tblPrEx>
          <w:shd w:val="clear" w:color="auto" w:fill="auto"/>
          <w:tblCellMar>
            <w:top w:w="0" w:type="dxa"/>
            <w:left w:w="0" w:type="dxa"/>
            <w:bottom w:w="0" w:type="dxa"/>
            <w:right w:w="0" w:type="dxa"/>
          </w:tblCellMar>
        </w:tblPrEx>
        <w:trPr>
          <w:trHeight w:val="1134" w:hRule="atLeast"/>
        </w:trPr>
        <w:tc>
          <w:tcPr>
            <w:tcW w:w="9340" w:type="dxa"/>
            <w:gridSpan w:val="4"/>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36"/>
                <w:szCs w:val="36"/>
                <w:u w:val="none"/>
              </w:rPr>
            </w:pPr>
            <w:r>
              <w:rPr>
                <w:rFonts w:hint="eastAsia" w:ascii="宋体" w:hAnsi="宋体" w:eastAsia="宋体" w:cs="宋体"/>
                <w:i w:val="0"/>
                <w:color w:val="000000"/>
                <w:kern w:val="0"/>
                <w:sz w:val="36"/>
                <w:szCs w:val="36"/>
                <w:u w:val="none"/>
                <w:lang w:val="en-US" w:eastAsia="zh-CN" w:bidi="ar"/>
              </w:rPr>
              <w:t>主动公开政府信息情况</w:t>
            </w:r>
          </w:p>
        </w:tc>
      </w:tr>
      <w:tr>
        <w:tblPrEx>
          <w:tblCellMar>
            <w:top w:w="0" w:type="dxa"/>
            <w:left w:w="0" w:type="dxa"/>
            <w:bottom w:w="0" w:type="dxa"/>
            <w:right w:w="0" w:type="dxa"/>
          </w:tblCellMar>
        </w:tblPrEx>
        <w:trPr>
          <w:trHeight w:val="835" w:hRule="atLeast"/>
        </w:trPr>
        <w:tc>
          <w:tcPr>
            <w:tcW w:w="9340" w:type="dxa"/>
            <w:gridSpan w:val="4"/>
            <w:tcBorders>
              <w:top w:val="single" w:color="000000" w:sz="4" w:space="0"/>
              <w:left w:val="single" w:color="000000" w:sz="4" w:space="0"/>
              <w:bottom w:val="single" w:color="000000" w:sz="4" w:space="0"/>
              <w:right w:val="single" w:color="000000" w:sz="4" w:space="0"/>
            </w:tcBorders>
            <w:shd w:val="clear" w:color="auto" w:fill="C5D9F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32"/>
                <w:szCs w:val="32"/>
                <w:u w:val="none"/>
              </w:rPr>
            </w:pPr>
            <w:r>
              <w:rPr>
                <w:rFonts w:hint="eastAsia" w:ascii="宋体" w:hAnsi="宋体" w:eastAsia="宋体" w:cs="宋体"/>
                <w:i w:val="0"/>
                <w:color w:val="000000"/>
                <w:kern w:val="0"/>
                <w:sz w:val="32"/>
                <w:szCs w:val="32"/>
                <w:u w:val="none"/>
                <w:lang w:val="en-US" w:eastAsia="zh-CN" w:bidi="ar"/>
              </w:rPr>
              <w:t>第二十条第（一）项</w:t>
            </w:r>
          </w:p>
        </w:tc>
      </w:tr>
      <w:tr>
        <w:tblPrEx>
          <w:tblCellMar>
            <w:top w:w="0" w:type="dxa"/>
            <w:left w:w="0" w:type="dxa"/>
            <w:bottom w:w="0" w:type="dxa"/>
            <w:right w:w="0" w:type="dxa"/>
          </w:tblCellMar>
        </w:tblPrEx>
        <w:trPr>
          <w:trHeight w:val="637"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信息内容</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本年（2020）新制作数量</w:t>
            </w:r>
          </w:p>
        </w:tc>
        <w:tc>
          <w:tcPr>
            <w:tcW w:w="17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公开数量</w:t>
            </w:r>
          </w:p>
        </w:tc>
        <w:tc>
          <w:tcPr>
            <w:tcW w:w="20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对外公开总数</w:t>
            </w:r>
          </w:p>
        </w:tc>
      </w:tr>
      <w:tr>
        <w:tblPrEx>
          <w:tblCellMar>
            <w:top w:w="0" w:type="dxa"/>
            <w:left w:w="0" w:type="dxa"/>
            <w:bottom w:w="0" w:type="dxa"/>
            <w:right w:w="0" w:type="dxa"/>
          </w:tblCellMar>
        </w:tblPrEx>
        <w:trPr>
          <w:trHeight w:val="637"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8"/>
                <w:szCs w:val="28"/>
                <w:u w:val="none"/>
                <w14:textFill>
                  <w14:solidFill>
                    <w14:schemeClr w14:val="tx1"/>
                  </w14:solidFill>
                </w14:textFill>
              </w:rPr>
            </w:pPr>
            <w:r>
              <w:rPr>
                <w:rFonts w:hint="eastAsia" w:ascii="宋体" w:hAnsi="宋体" w:eastAsia="宋体" w:cs="宋体"/>
                <w:i w:val="0"/>
                <w:color w:val="000000" w:themeColor="text1"/>
                <w:kern w:val="0"/>
                <w:sz w:val="28"/>
                <w:szCs w:val="28"/>
                <w:u w:val="none"/>
                <w:lang w:val="en-US" w:eastAsia="zh-CN" w:bidi="ar"/>
                <w14:textFill>
                  <w14:solidFill>
                    <w14:schemeClr w14:val="tx1"/>
                  </w14:solidFill>
                </w14:textFill>
              </w:rPr>
              <w:t>规章</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ascii="微软雅黑" w:hAnsi="微软雅黑" w:eastAsia="微软雅黑" w:cs="微软雅黑"/>
                <w:i w:val="0"/>
                <w:color w:val="333333"/>
                <w:sz w:val="28"/>
                <w:szCs w:val="28"/>
                <w:u w:val="none"/>
              </w:rPr>
            </w:pPr>
            <w:r>
              <w:rPr>
                <w:rFonts w:hint="eastAsia" w:ascii="微软雅黑" w:hAnsi="微软雅黑" w:eastAsia="微软雅黑" w:cs="微软雅黑"/>
                <w:i w:val="0"/>
                <w:color w:val="333333"/>
                <w:kern w:val="0"/>
                <w:sz w:val="28"/>
                <w:szCs w:val="28"/>
                <w:u w:val="none"/>
                <w:lang w:val="en-US" w:eastAsia="zh-CN" w:bidi="ar"/>
              </w:rPr>
              <w:t>0</w:t>
            </w:r>
          </w:p>
        </w:tc>
        <w:tc>
          <w:tcPr>
            <w:tcW w:w="17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8"/>
                <w:szCs w:val="28"/>
                <w:u w:val="none"/>
              </w:rPr>
            </w:pPr>
            <w:r>
              <w:rPr>
                <w:rFonts w:hint="eastAsia" w:ascii="微软雅黑" w:hAnsi="微软雅黑" w:eastAsia="微软雅黑" w:cs="微软雅黑"/>
                <w:i w:val="0"/>
                <w:color w:val="333333"/>
                <w:kern w:val="0"/>
                <w:sz w:val="28"/>
                <w:szCs w:val="28"/>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0</w:t>
            </w:r>
          </w:p>
        </w:tc>
      </w:tr>
      <w:tr>
        <w:tblPrEx>
          <w:tblCellMar>
            <w:top w:w="0" w:type="dxa"/>
            <w:left w:w="0" w:type="dxa"/>
            <w:bottom w:w="0" w:type="dxa"/>
            <w:right w:w="0" w:type="dxa"/>
          </w:tblCellMar>
        </w:tblPrEx>
        <w:trPr>
          <w:trHeight w:val="637"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8"/>
                <w:szCs w:val="28"/>
                <w:u w:val="none"/>
                <w14:textFill>
                  <w14:solidFill>
                    <w14:schemeClr w14:val="tx1"/>
                  </w14:solidFill>
                </w14:textFill>
              </w:rPr>
            </w:pPr>
            <w:r>
              <w:rPr>
                <w:rFonts w:hint="eastAsia" w:ascii="宋体" w:hAnsi="宋体" w:eastAsia="宋体" w:cs="宋体"/>
                <w:i w:val="0"/>
                <w:color w:val="000000" w:themeColor="text1"/>
                <w:kern w:val="0"/>
                <w:sz w:val="28"/>
                <w:szCs w:val="28"/>
                <w:u w:val="none"/>
                <w:lang w:val="en-US" w:eastAsia="zh-CN" w:bidi="ar"/>
                <w14:textFill>
                  <w14:solidFill>
                    <w14:schemeClr w14:val="tx1"/>
                  </w14:solidFill>
                </w14:textFill>
              </w:rPr>
              <w:t>规范性文件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0</w:t>
            </w:r>
          </w:p>
        </w:tc>
      </w:tr>
      <w:tr>
        <w:tblPrEx>
          <w:tblCellMar>
            <w:top w:w="0" w:type="dxa"/>
            <w:left w:w="0" w:type="dxa"/>
            <w:bottom w:w="0" w:type="dxa"/>
            <w:right w:w="0" w:type="dxa"/>
          </w:tblCellMar>
        </w:tblPrEx>
        <w:trPr>
          <w:trHeight w:val="752" w:hRule="atLeast"/>
        </w:trPr>
        <w:tc>
          <w:tcPr>
            <w:tcW w:w="9340" w:type="dxa"/>
            <w:gridSpan w:val="4"/>
            <w:tcBorders>
              <w:top w:val="single" w:color="000000" w:sz="4" w:space="0"/>
              <w:left w:val="single" w:color="000000" w:sz="4" w:space="0"/>
              <w:bottom w:val="single" w:color="000000" w:sz="4" w:space="0"/>
              <w:right w:val="single" w:color="000000" w:sz="4" w:space="0"/>
            </w:tcBorders>
            <w:shd w:val="clear" w:color="auto" w:fill="C5D9F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32"/>
                <w:szCs w:val="32"/>
                <w:u w:val="none"/>
                <w14:textFill>
                  <w14:solidFill>
                    <w14:schemeClr w14:val="tx1"/>
                  </w14:solidFill>
                </w14:textFill>
              </w:rPr>
            </w:pPr>
            <w:r>
              <w:rPr>
                <w:rFonts w:hint="eastAsia" w:ascii="宋体" w:hAnsi="宋体" w:eastAsia="宋体" w:cs="宋体"/>
                <w:i w:val="0"/>
                <w:color w:val="000000" w:themeColor="text1"/>
                <w:kern w:val="0"/>
                <w:sz w:val="32"/>
                <w:szCs w:val="32"/>
                <w:u w:val="none"/>
                <w:lang w:val="en-US" w:eastAsia="zh-CN" w:bidi="ar"/>
                <w14:textFill>
                  <w14:solidFill>
                    <w14:schemeClr w14:val="tx1"/>
                  </w14:solidFill>
                </w14:textFill>
              </w:rPr>
              <w:t>第二十条第（五）项</w:t>
            </w:r>
          </w:p>
        </w:tc>
      </w:tr>
      <w:tr>
        <w:tblPrEx>
          <w:tblCellMar>
            <w:top w:w="0" w:type="dxa"/>
            <w:left w:w="0" w:type="dxa"/>
            <w:bottom w:w="0" w:type="dxa"/>
            <w:right w:w="0" w:type="dxa"/>
          </w:tblCellMar>
        </w:tblPrEx>
        <w:trPr>
          <w:trHeight w:val="637"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8"/>
                <w:szCs w:val="28"/>
                <w:u w:val="none"/>
                <w14:textFill>
                  <w14:solidFill>
                    <w14:schemeClr w14:val="tx1"/>
                  </w14:solidFill>
                </w14:textFill>
              </w:rPr>
            </w:pPr>
            <w:r>
              <w:rPr>
                <w:rFonts w:hint="eastAsia" w:ascii="宋体" w:hAnsi="宋体" w:eastAsia="宋体" w:cs="宋体"/>
                <w:i w:val="0"/>
                <w:color w:val="000000" w:themeColor="text1"/>
                <w:kern w:val="0"/>
                <w:sz w:val="28"/>
                <w:szCs w:val="28"/>
                <w:u w:val="none"/>
                <w:lang w:val="en-US" w:eastAsia="zh-CN" w:bidi="ar"/>
                <w14:textFill>
                  <w14:solidFill>
                    <w14:schemeClr w14:val="tx1"/>
                  </w14:solidFill>
                </w14:textFill>
              </w:rPr>
              <w:t>信息内容</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上一年（2019）项目数量</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本年增/减</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处理决定数量</w:t>
            </w:r>
          </w:p>
        </w:tc>
      </w:tr>
      <w:tr>
        <w:tblPrEx>
          <w:tblCellMar>
            <w:top w:w="0" w:type="dxa"/>
            <w:left w:w="0" w:type="dxa"/>
            <w:bottom w:w="0" w:type="dxa"/>
            <w:right w:w="0" w:type="dxa"/>
          </w:tblCellMar>
        </w:tblPrEx>
        <w:trPr>
          <w:trHeight w:val="637"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8"/>
                <w:szCs w:val="28"/>
                <w:u w:val="none"/>
                <w14:textFill>
                  <w14:solidFill>
                    <w14:schemeClr w14:val="tx1"/>
                  </w14:solidFill>
                </w14:textFill>
              </w:rPr>
            </w:pPr>
            <w:r>
              <w:rPr>
                <w:rFonts w:hint="eastAsia" w:ascii="宋体" w:hAnsi="宋体" w:eastAsia="宋体" w:cs="宋体"/>
                <w:i w:val="0"/>
                <w:color w:val="000000" w:themeColor="text1"/>
                <w:kern w:val="0"/>
                <w:sz w:val="28"/>
                <w:szCs w:val="28"/>
                <w:u w:val="none"/>
                <w:lang w:val="en-US" w:eastAsia="zh-CN" w:bidi="ar"/>
                <w14:textFill>
                  <w14:solidFill>
                    <w14:schemeClr w14:val="tx1"/>
                  </w14:solidFill>
                </w14:textFill>
              </w:rPr>
              <w:t>行政许可</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0</w:t>
            </w:r>
          </w:p>
        </w:tc>
      </w:tr>
      <w:tr>
        <w:tblPrEx>
          <w:tblCellMar>
            <w:top w:w="0" w:type="dxa"/>
            <w:left w:w="0" w:type="dxa"/>
            <w:bottom w:w="0" w:type="dxa"/>
            <w:right w:w="0" w:type="dxa"/>
          </w:tblCellMar>
        </w:tblPrEx>
        <w:trPr>
          <w:trHeight w:val="637"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8"/>
                <w:szCs w:val="28"/>
                <w:u w:val="none"/>
                <w14:textFill>
                  <w14:solidFill>
                    <w14:schemeClr w14:val="tx1"/>
                  </w14:solidFill>
                </w14:textFill>
              </w:rPr>
            </w:pPr>
            <w:r>
              <w:rPr>
                <w:rFonts w:hint="eastAsia" w:ascii="宋体" w:hAnsi="宋体" w:eastAsia="宋体" w:cs="宋体"/>
                <w:i w:val="0"/>
                <w:color w:val="000000" w:themeColor="text1"/>
                <w:kern w:val="0"/>
                <w:sz w:val="28"/>
                <w:szCs w:val="28"/>
                <w:u w:val="none"/>
                <w:lang w:val="en-US" w:eastAsia="zh-CN" w:bidi="ar"/>
                <w14:textFill>
                  <w14:solidFill>
                    <w14:schemeClr w14:val="tx1"/>
                  </w14:solidFill>
                </w14:textFill>
              </w:rPr>
              <w:t>其他对外管理服务事项</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0</w:t>
            </w:r>
          </w:p>
        </w:tc>
      </w:tr>
      <w:tr>
        <w:tblPrEx>
          <w:tblCellMar>
            <w:top w:w="0" w:type="dxa"/>
            <w:left w:w="0" w:type="dxa"/>
            <w:bottom w:w="0" w:type="dxa"/>
            <w:right w:w="0" w:type="dxa"/>
          </w:tblCellMar>
        </w:tblPrEx>
        <w:trPr>
          <w:trHeight w:val="770" w:hRule="atLeast"/>
        </w:trPr>
        <w:tc>
          <w:tcPr>
            <w:tcW w:w="9340" w:type="dxa"/>
            <w:gridSpan w:val="4"/>
            <w:tcBorders>
              <w:top w:val="single" w:color="000000" w:sz="4" w:space="0"/>
              <w:left w:val="single" w:color="000000" w:sz="4" w:space="0"/>
              <w:bottom w:val="single" w:color="000000" w:sz="4" w:space="0"/>
              <w:right w:val="single" w:color="000000" w:sz="4" w:space="0"/>
            </w:tcBorders>
            <w:shd w:val="clear" w:color="auto" w:fill="C5D9F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32"/>
                <w:szCs w:val="32"/>
                <w:u w:val="none"/>
                <w14:textFill>
                  <w14:solidFill>
                    <w14:schemeClr w14:val="tx1"/>
                  </w14:solidFill>
                </w14:textFill>
              </w:rPr>
            </w:pPr>
            <w:r>
              <w:rPr>
                <w:rFonts w:hint="eastAsia" w:ascii="宋体" w:hAnsi="宋体" w:eastAsia="宋体" w:cs="宋体"/>
                <w:i w:val="0"/>
                <w:color w:val="000000" w:themeColor="text1"/>
                <w:kern w:val="0"/>
                <w:sz w:val="32"/>
                <w:szCs w:val="32"/>
                <w:u w:val="none"/>
                <w:lang w:val="en-US" w:eastAsia="zh-CN" w:bidi="ar"/>
                <w14:textFill>
                  <w14:solidFill>
                    <w14:schemeClr w14:val="tx1"/>
                  </w14:solidFill>
                </w14:textFill>
              </w:rPr>
              <w:t>第二十条第（六）项</w:t>
            </w:r>
          </w:p>
        </w:tc>
      </w:tr>
      <w:tr>
        <w:tblPrEx>
          <w:tblCellMar>
            <w:top w:w="0" w:type="dxa"/>
            <w:left w:w="0" w:type="dxa"/>
            <w:bottom w:w="0" w:type="dxa"/>
            <w:right w:w="0" w:type="dxa"/>
          </w:tblCellMar>
        </w:tblPrEx>
        <w:trPr>
          <w:trHeight w:val="637"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8"/>
                <w:szCs w:val="28"/>
                <w:u w:val="none"/>
                <w14:textFill>
                  <w14:solidFill>
                    <w14:schemeClr w14:val="tx1"/>
                  </w14:solidFill>
                </w14:textFill>
              </w:rPr>
            </w:pPr>
            <w:r>
              <w:rPr>
                <w:rFonts w:hint="eastAsia" w:ascii="宋体" w:hAnsi="宋体" w:eastAsia="宋体" w:cs="宋体"/>
                <w:i w:val="0"/>
                <w:color w:val="000000" w:themeColor="text1"/>
                <w:kern w:val="0"/>
                <w:sz w:val="28"/>
                <w:szCs w:val="28"/>
                <w:u w:val="none"/>
                <w:lang w:val="en-US" w:eastAsia="zh-CN" w:bidi="ar"/>
                <w14:textFill>
                  <w14:solidFill>
                    <w14:schemeClr w14:val="tx1"/>
                  </w14:solidFill>
                </w14:textFill>
              </w:rPr>
              <w:t>信息内容</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上一年（2019）项目数量</w:t>
            </w:r>
          </w:p>
        </w:tc>
        <w:tc>
          <w:tcPr>
            <w:tcW w:w="17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本年增/减</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处理决定数量</w:t>
            </w:r>
          </w:p>
        </w:tc>
      </w:tr>
      <w:tr>
        <w:tblPrEx>
          <w:tblCellMar>
            <w:top w:w="0" w:type="dxa"/>
            <w:left w:w="0" w:type="dxa"/>
            <w:bottom w:w="0" w:type="dxa"/>
            <w:right w:w="0" w:type="dxa"/>
          </w:tblCellMar>
        </w:tblPrEx>
        <w:trPr>
          <w:trHeight w:val="637"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8"/>
                <w:szCs w:val="28"/>
                <w:u w:val="none"/>
                <w14:textFill>
                  <w14:solidFill>
                    <w14:schemeClr w14:val="tx1"/>
                  </w14:solidFill>
                </w14:textFill>
              </w:rPr>
            </w:pPr>
            <w:r>
              <w:rPr>
                <w:rFonts w:hint="eastAsia" w:ascii="宋体" w:hAnsi="宋体" w:eastAsia="宋体" w:cs="宋体"/>
                <w:i w:val="0"/>
                <w:color w:val="000000" w:themeColor="text1"/>
                <w:kern w:val="0"/>
                <w:sz w:val="28"/>
                <w:szCs w:val="28"/>
                <w:u w:val="none"/>
                <w:lang w:val="en-US" w:eastAsia="zh-CN" w:bidi="ar"/>
                <w14:textFill>
                  <w14:solidFill>
                    <w14:schemeClr w14:val="tx1"/>
                  </w14:solidFill>
                </w14:textFill>
              </w:rPr>
              <w:t>行政处罚</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0</w:t>
            </w:r>
          </w:p>
        </w:tc>
      </w:tr>
      <w:tr>
        <w:tblPrEx>
          <w:tblCellMar>
            <w:top w:w="0" w:type="dxa"/>
            <w:left w:w="0" w:type="dxa"/>
            <w:bottom w:w="0" w:type="dxa"/>
            <w:right w:w="0" w:type="dxa"/>
          </w:tblCellMar>
        </w:tblPrEx>
        <w:trPr>
          <w:trHeight w:val="637"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8"/>
                <w:szCs w:val="28"/>
                <w:u w:val="none"/>
                <w14:textFill>
                  <w14:solidFill>
                    <w14:schemeClr w14:val="tx1"/>
                  </w14:solidFill>
                </w14:textFill>
              </w:rPr>
            </w:pPr>
            <w:r>
              <w:rPr>
                <w:rFonts w:hint="eastAsia" w:ascii="宋体" w:hAnsi="宋体" w:eastAsia="宋体" w:cs="宋体"/>
                <w:i w:val="0"/>
                <w:color w:val="000000" w:themeColor="text1"/>
                <w:kern w:val="0"/>
                <w:sz w:val="28"/>
                <w:szCs w:val="28"/>
                <w:u w:val="none"/>
                <w:lang w:val="en-US" w:eastAsia="zh-CN" w:bidi="ar"/>
                <w14:textFill>
                  <w14:solidFill>
                    <w14:schemeClr w14:val="tx1"/>
                  </w14:solidFill>
                </w14:textFill>
              </w:rPr>
              <w:t>行政强制</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0</w:t>
            </w:r>
          </w:p>
        </w:tc>
      </w:tr>
      <w:tr>
        <w:tblPrEx>
          <w:tblCellMar>
            <w:top w:w="0" w:type="dxa"/>
            <w:left w:w="0" w:type="dxa"/>
            <w:bottom w:w="0" w:type="dxa"/>
            <w:right w:w="0" w:type="dxa"/>
          </w:tblCellMar>
        </w:tblPrEx>
        <w:trPr>
          <w:trHeight w:val="732" w:hRule="atLeast"/>
        </w:trPr>
        <w:tc>
          <w:tcPr>
            <w:tcW w:w="9340" w:type="dxa"/>
            <w:gridSpan w:val="4"/>
            <w:tcBorders>
              <w:top w:val="single" w:color="000000" w:sz="4" w:space="0"/>
              <w:left w:val="single" w:color="000000" w:sz="4" w:space="0"/>
              <w:bottom w:val="single" w:color="000000" w:sz="4" w:space="0"/>
              <w:right w:val="single" w:color="000000" w:sz="4" w:space="0"/>
            </w:tcBorders>
            <w:shd w:val="clear" w:color="auto" w:fill="C5D9F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32"/>
                <w:szCs w:val="32"/>
                <w:u w:val="none"/>
                <w14:textFill>
                  <w14:solidFill>
                    <w14:schemeClr w14:val="tx1"/>
                  </w14:solidFill>
                </w14:textFill>
              </w:rPr>
            </w:pPr>
            <w:r>
              <w:rPr>
                <w:rFonts w:hint="eastAsia" w:ascii="宋体" w:hAnsi="宋体" w:eastAsia="宋体" w:cs="宋体"/>
                <w:i w:val="0"/>
                <w:color w:val="000000" w:themeColor="text1"/>
                <w:kern w:val="0"/>
                <w:sz w:val="32"/>
                <w:szCs w:val="32"/>
                <w:u w:val="none"/>
                <w:lang w:val="en-US" w:eastAsia="zh-CN" w:bidi="ar"/>
                <w14:textFill>
                  <w14:solidFill>
                    <w14:schemeClr w14:val="tx1"/>
                  </w14:solidFill>
                </w14:textFill>
              </w:rPr>
              <w:t>第二十条第（八）项</w:t>
            </w:r>
          </w:p>
        </w:tc>
      </w:tr>
      <w:tr>
        <w:tblPrEx>
          <w:tblCellMar>
            <w:top w:w="0" w:type="dxa"/>
            <w:left w:w="0" w:type="dxa"/>
            <w:bottom w:w="0" w:type="dxa"/>
            <w:right w:w="0" w:type="dxa"/>
          </w:tblCellMar>
        </w:tblPrEx>
        <w:trPr>
          <w:trHeight w:val="637"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8"/>
                <w:szCs w:val="28"/>
                <w:u w:val="none"/>
                <w14:textFill>
                  <w14:solidFill>
                    <w14:schemeClr w14:val="tx1"/>
                  </w14:solidFill>
                </w14:textFill>
              </w:rPr>
            </w:pPr>
            <w:r>
              <w:rPr>
                <w:rFonts w:hint="eastAsia" w:ascii="宋体" w:hAnsi="宋体" w:eastAsia="宋体" w:cs="宋体"/>
                <w:i w:val="0"/>
                <w:color w:val="000000" w:themeColor="text1"/>
                <w:kern w:val="0"/>
                <w:sz w:val="28"/>
                <w:szCs w:val="28"/>
                <w:u w:val="none"/>
                <w:lang w:val="en-US" w:eastAsia="zh-CN" w:bidi="ar"/>
                <w14:textFill>
                  <w14:solidFill>
                    <w14:schemeClr w14:val="tx1"/>
                  </w14:solidFill>
                </w14:textFill>
              </w:rPr>
              <w:t>信息内容</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上一年（2019）项目数量</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本年增/减</w:t>
            </w:r>
          </w:p>
        </w:tc>
      </w:tr>
      <w:tr>
        <w:tblPrEx>
          <w:tblCellMar>
            <w:top w:w="0" w:type="dxa"/>
            <w:left w:w="0" w:type="dxa"/>
            <w:bottom w:w="0" w:type="dxa"/>
            <w:right w:w="0" w:type="dxa"/>
          </w:tblCellMar>
        </w:tblPrEx>
        <w:trPr>
          <w:trHeight w:val="637"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8"/>
                <w:szCs w:val="28"/>
                <w:u w:val="none"/>
                <w14:textFill>
                  <w14:solidFill>
                    <w14:schemeClr w14:val="tx1"/>
                  </w14:solidFill>
                </w14:textFill>
              </w:rPr>
            </w:pPr>
            <w:r>
              <w:rPr>
                <w:rFonts w:hint="eastAsia" w:ascii="宋体" w:hAnsi="宋体" w:eastAsia="宋体" w:cs="宋体"/>
                <w:i w:val="0"/>
                <w:color w:val="000000" w:themeColor="text1"/>
                <w:kern w:val="0"/>
                <w:sz w:val="28"/>
                <w:szCs w:val="28"/>
                <w:u w:val="none"/>
                <w:lang w:val="en-US" w:eastAsia="zh-CN" w:bidi="ar"/>
                <w14:textFill>
                  <w14:solidFill>
                    <w14:schemeClr w14:val="tx1"/>
                  </w14:solidFill>
                </w14:textFill>
              </w:rPr>
              <w:t>行政事业性收费</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0</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0</w:t>
            </w:r>
          </w:p>
        </w:tc>
      </w:tr>
      <w:tr>
        <w:tblPrEx>
          <w:tblCellMar>
            <w:top w:w="0" w:type="dxa"/>
            <w:left w:w="0" w:type="dxa"/>
            <w:bottom w:w="0" w:type="dxa"/>
            <w:right w:w="0" w:type="dxa"/>
          </w:tblCellMar>
        </w:tblPrEx>
        <w:trPr>
          <w:trHeight w:val="673" w:hRule="atLeast"/>
        </w:trPr>
        <w:tc>
          <w:tcPr>
            <w:tcW w:w="9340" w:type="dxa"/>
            <w:gridSpan w:val="4"/>
            <w:tcBorders>
              <w:top w:val="single" w:color="000000" w:sz="4" w:space="0"/>
              <w:left w:val="single" w:color="000000" w:sz="4" w:space="0"/>
              <w:bottom w:val="single" w:color="000000" w:sz="4" w:space="0"/>
              <w:right w:val="single" w:color="000000" w:sz="4" w:space="0"/>
            </w:tcBorders>
            <w:shd w:val="clear" w:color="auto" w:fill="C5D9F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32"/>
                <w:szCs w:val="32"/>
                <w:u w:val="none"/>
                <w14:textFill>
                  <w14:solidFill>
                    <w14:schemeClr w14:val="tx1"/>
                  </w14:solidFill>
                </w14:textFill>
              </w:rPr>
            </w:pPr>
            <w:r>
              <w:rPr>
                <w:rFonts w:hint="eastAsia" w:ascii="宋体" w:hAnsi="宋体" w:eastAsia="宋体" w:cs="宋体"/>
                <w:i w:val="0"/>
                <w:color w:val="000000" w:themeColor="text1"/>
                <w:kern w:val="0"/>
                <w:sz w:val="32"/>
                <w:szCs w:val="32"/>
                <w:u w:val="none"/>
                <w:lang w:val="en-US" w:eastAsia="zh-CN" w:bidi="ar"/>
                <w14:textFill>
                  <w14:solidFill>
                    <w14:schemeClr w14:val="tx1"/>
                  </w14:solidFill>
                </w14:textFill>
              </w:rPr>
              <w:t>第二十条第（九）项</w:t>
            </w:r>
          </w:p>
        </w:tc>
      </w:tr>
      <w:tr>
        <w:tblPrEx>
          <w:tblCellMar>
            <w:top w:w="0" w:type="dxa"/>
            <w:left w:w="0" w:type="dxa"/>
            <w:bottom w:w="0" w:type="dxa"/>
            <w:right w:w="0" w:type="dxa"/>
          </w:tblCellMar>
        </w:tblPrEx>
        <w:trPr>
          <w:trHeight w:val="732"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8"/>
                <w:szCs w:val="28"/>
                <w:u w:val="none"/>
                <w14:textFill>
                  <w14:solidFill>
                    <w14:schemeClr w14:val="tx1"/>
                  </w14:solidFill>
                </w14:textFill>
              </w:rPr>
            </w:pPr>
            <w:r>
              <w:rPr>
                <w:rFonts w:hint="eastAsia" w:ascii="宋体" w:hAnsi="宋体" w:eastAsia="宋体" w:cs="宋体"/>
                <w:i w:val="0"/>
                <w:color w:val="000000" w:themeColor="text1"/>
                <w:kern w:val="0"/>
                <w:sz w:val="28"/>
                <w:szCs w:val="28"/>
                <w:u w:val="none"/>
                <w:lang w:val="en-US" w:eastAsia="zh-CN" w:bidi="ar"/>
                <w14:textFill>
                  <w14:solidFill>
                    <w14:schemeClr w14:val="tx1"/>
                  </w14:solidFill>
                </w14:textFill>
              </w:rPr>
              <w:t>信息内容</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采购项目数量</w:t>
            </w:r>
          </w:p>
        </w:tc>
        <w:tc>
          <w:tcPr>
            <w:tcW w:w="3769"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采购总金额(单位：万元)</w:t>
            </w:r>
          </w:p>
        </w:tc>
      </w:tr>
      <w:tr>
        <w:tblPrEx>
          <w:tblCellMar>
            <w:top w:w="0" w:type="dxa"/>
            <w:left w:w="0" w:type="dxa"/>
            <w:bottom w:w="0" w:type="dxa"/>
            <w:right w:w="0" w:type="dxa"/>
          </w:tblCellMar>
        </w:tblPrEx>
        <w:trPr>
          <w:trHeight w:val="703"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8"/>
                <w:szCs w:val="28"/>
                <w:u w:val="none"/>
                <w14:textFill>
                  <w14:solidFill>
                    <w14:schemeClr w14:val="tx1"/>
                  </w14:solidFill>
                </w14:textFill>
              </w:rPr>
            </w:pPr>
            <w:r>
              <w:rPr>
                <w:rFonts w:hint="eastAsia" w:ascii="宋体" w:hAnsi="宋体" w:eastAsia="宋体" w:cs="宋体"/>
                <w:i w:val="0"/>
                <w:color w:val="000000" w:themeColor="text1"/>
                <w:kern w:val="0"/>
                <w:sz w:val="28"/>
                <w:szCs w:val="28"/>
                <w:u w:val="none"/>
                <w:lang w:val="en-US" w:eastAsia="zh-CN" w:bidi="ar"/>
                <w14:textFill>
                  <w14:solidFill>
                    <w14:schemeClr w14:val="tx1"/>
                  </w14:solidFill>
                </w14:textFill>
              </w:rPr>
              <w:t>政府集中采购</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59</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792062</w:t>
            </w:r>
          </w:p>
        </w:tc>
      </w:tr>
    </w:tbl>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kern w:val="2"/>
          <w:sz w:val="32"/>
          <w:szCs w:val="32"/>
          <w:lang w:val="en-US" w:eastAsia="zh-CN"/>
        </w:rPr>
      </w:pPr>
    </w:p>
    <w:tbl>
      <w:tblPr>
        <w:tblStyle w:val="4"/>
        <w:tblW w:w="9680" w:type="dxa"/>
        <w:tblInd w:w="0" w:type="dxa"/>
        <w:shd w:val="clear" w:color="auto" w:fill="auto"/>
        <w:tblLayout w:type="autofit"/>
        <w:tblCellMar>
          <w:top w:w="0" w:type="dxa"/>
          <w:left w:w="0" w:type="dxa"/>
          <w:bottom w:w="0" w:type="dxa"/>
          <w:right w:w="0" w:type="dxa"/>
        </w:tblCellMar>
      </w:tblPr>
      <w:tblGrid>
        <w:gridCol w:w="762"/>
        <w:gridCol w:w="762"/>
        <w:gridCol w:w="2477"/>
        <w:gridCol w:w="844"/>
        <w:gridCol w:w="880"/>
        <w:gridCol w:w="761"/>
        <w:gridCol w:w="797"/>
        <w:gridCol w:w="964"/>
        <w:gridCol w:w="645"/>
        <w:gridCol w:w="788"/>
      </w:tblGrid>
      <w:tr>
        <w:tblPrEx>
          <w:shd w:val="clear" w:color="auto" w:fill="auto"/>
          <w:tblCellMar>
            <w:top w:w="0" w:type="dxa"/>
            <w:left w:w="0" w:type="dxa"/>
            <w:bottom w:w="0" w:type="dxa"/>
            <w:right w:w="0" w:type="dxa"/>
          </w:tblCellMar>
        </w:tblPrEx>
        <w:trPr>
          <w:trHeight w:val="986" w:hRule="atLeast"/>
        </w:trPr>
        <w:tc>
          <w:tcPr>
            <w:tcW w:w="9680" w:type="dxa"/>
            <w:gridSpan w:val="10"/>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spacing w:after="360" w:afterAutospacing="0"/>
              <w:jc w:val="center"/>
              <w:textAlignment w:val="center"/>
              <w:rPr>
                <w:rFonts w:hint="eastAsia" w:ascii="宋体" w:hAnsi="宋体" w:eastAsia="宋体" w:cs="宋体"/>
                <w:i w:val="0"/>
                <w:color w:val="000000"/>
                <w:sz w:val="36"/>
                <w:szCs w:val="36"/>
                <w:u w:val="none"/>
              </w:rPr>
            </w:pPr>
            <w:r>
              <w:rPr>
                <w:rFonts w:hint="eastAsia" w:ascii="宋体" w:hAnsi="宋体" w:eastAsia="宋体" w:cs="宋体"/>
                <w:i w:val="0"/>
                <w:color w:val="000000"/>
                <w:kern w:val="0"/>
                <w:sz w:val="36"/>
                <w:szCs w:val="36"/>
                <w:u w:val="none"/>
                <w:lang w:val="en-US" w:eastAsia="zh-CN" w:bidi="ar"/>
              </w:rPr>
              <w:t>收到和处理政府信息公开申请情况</w:t>
            </w:r>
          </w:p>
        </w:tc>
      </w:tr>
      <w:tr>
        <w:tblPrEx>
          <w:tblCellMar>
            <w:top w:w="0" w:type="dxa"/>
            <w:left w:w="0" w:type="dxa"/>
            <w:bottom w:w="0" w:type="dxa"/>
            <w:right w:w="0" w:type="dxa"/>
          </w:tblCellMar>
        </w:tblPrEx>
        <w:trPr>
          <w:trHeight w:val="380" w:hRule="atLeast"/>
        </w:trPr>
        <w:tc>
          <w:tcPr>
            <w:tcW w:w="4001" w:type="dxa"/>
            <w:gridSpan w:val="3"/>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（本列数据的勾稽关系为：第一项加第二项之和，等于第三项加第四项之和）</w:t>
            </w:r>
          </w:p>
        </w:tc>
        <w:tc>
          <w:tcPr>
            <w:tcW w:w="5679"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申请人情况</w:t>
            </w:r>
          </w:p>
        </w:tc>
      </w:tr>
      <w:tr>
        <w:tblPrEx>
          <w:tblCellMar>
            <w:top w:w="0" w:type="dxa"/>
            <w:left w:w="0" w:type="dxa"/>
            <w:bottom w:w="0" w:type="dxa"/>
            <w:right w:w="0" w:type="dxa"/>
          </w:tblCellMar>
        </w:tblPrEx>
        <w:trPr>
          <w:trHeight w:val="359" w:hRule="atLeast"/>
        </w:trPr>
        <w:tc>
          <w:tcPr>
            <w:tcW w:w="4001"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84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法人或其他组织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总计</w:t>
            </w:r>
          </w:p>
        </w:tc>
      </w:tr>
      <w:tr>
        <w:tblPrEx>
          <w:tblCellMar>
            <w:top w:w="0" w:type="dxa"/>
            <w:left w:w="0" w:type="dxa"/>
            <w:bottom w:w="0" w:type="dxa"/>
            <w:right w:w="0" w:type="dxa"/>
          </w:tblCellMar>
        </w:tblPrEx>
        <w:trPr>
          <w:trHeight w:val="676" w:hRule="atLeast"/>
        </w:trPr>
        <w:tc>
          <w:tcPr>
            <w:tcW w:w="4001"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8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8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商业企业</w:t>
            </w:r>
          </w:p>
        </w:tc>
        <w:tc>
          <w:tcPr>
            <w:tcW w:w="7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科研机构</w:t>
            </w:r>
          </w:p>
        </w:tc>
        <w:tc>
          <w:tcPr>
            <w:tcW w:w="7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社会公益组织</w:t>
            </w:r>
          </w:p>
        </w:tc>
        <w:tc>
          <w:tcPr>
            <w:tcW w:w="96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法律服务机构</w:t>
            </w:r>
          </w:p>
        </w:tc>
        <w:tc>
          <w:tcPr>
            <w:tcW w:w="6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其他</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640" w:hRule="atLeast"/>
        </w:trPr>
        <w:tc>
          <w:tcPr>
            <w:tcW w:w="400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一、本年（2020）新收政府信息公开申请数量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r>
      <w:tr>
        <w:tblPrEx>
          <w:tblCellMar>
            <w:top w:w="0" w:type="dxa"/>
            <w:left w:w="0" w:type="dxa"/>
            <w:bottom w:w="0" w:type="dxa"/>
            <w:right w:w="0" w:type="dxa"/>
          </w:tblCellMar>
        </w:tblPrEx>
        <w:trPr>
          <w:trHeight w:val="640" w:hRule="atLeast"/>
        </w:trPr>
        <w:tc>
          <w:tcPr>
            <w:tcW w:w="4001"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二、上年（2019）结转政府信息公开申请数量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r>
      <w:tr>
        <w:tblPrEx>
          <w:tblCellMar>
            <w:top w:w="0" w:type="dxa"/>
            <w:left w:w="0" w:type="dxa"/>
            <w:bottom w:w="0" w:type="dxa"/>
            <w:right w:w="0" w:type="dxa"/>
          </w:tblCellMar>
        </w:tblPrEx>
        <w:trPr>
          <w:trHeight w:val="439" w:hRule="atLeast"/>
        </w:trPr>
        <w:tc>
          <w:tcPr>
            <w:tcW w:w="76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三、本年度办理结果</w:t>
            </w:r>
          </w:p>
        </w:tc>
        <w:tc>
          <w:tcPr>
            <w:tcW w:w="323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（一）予以公开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r>
      <w:tr>
        <w:tblPrEx>
          <w:tblCellMar>
            <w:top w:w="0" w:type="dxa"/>
            <w:left w:w="0" w:type="dxa"/>
            <w:bottom w:w="0" w:type="dxa"/>
            <w:right w:w="0" w:type="dxa"/>
          </w:tblCellMar>
        </w:tblPrEx>
        <w:trPr>
          <w:trHeight w:val="640" w:hRule="atLeast"/>
        </w:trPr>
        <w:tc>
          <w:tcPr>
            <w:tcW w:w="7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323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（二）部分公开（区分处理的，只计这一情形，不计其他情形）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r>
      <w:tr>
        <w:tblPrEx>
          <w:tblCellMar>
            <w:top w:w="0" w:type="dxa"/>
            <w:left w:w="0" w:type="dxa"/>
            <w:bottom w:w="0" w:type="dxa"/>
            <w:right w:w="0" w:type="dxa"/>
          </w:tblCellMar>
        </w:tblPrEx>
        <w:trPr>
          <w:trHeight w:val="498" w:hRule="atLeast"/>
        </w:trPr>
        <w:tc>
          <w:tcPr>
            <w:tcW w:w="7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76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（三）不予公开</w:t>
            </w:r>
          </w:p>
        </w:tc>
        <w:tc>
          <w:tcPr>
            <w:tcW w:w="24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1.属于国家秘密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r>
      <w:tr>
        <w:tblPrEx>
          <w:tblCellMar>
            <w:top w:w="0" w:type="dxa"/>
            <w:left w:w="0" w:type="dxa"/>
            <w:bottom w:w="0" w:type="dxa"/>
            <w:right w:w="0" w:type="dxa"/>
          </w:tblCellMar>
        </w:tblPrEx>
        <w:trPr>
          <w:trHeight w:val="655" w:hRule="atLeast"/>
        </w:trPr>
        <w:tc>
          <w:tcPr>
            <w:tcW w:w="7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7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24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2.其他法律行政法规禁止公开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r>
      <w:tr>
        <w:tblPrEx>
          <w:tblCellMar>
            <w:top w:w="0" w:type="dxa"/>
            <w:left w:w="0" w:type="dxa"/>
            <w:bottom w:w="0" w:type="dxa"/>
            <w:right w:w="0" w:type="dxa"/>
          </w:tblCellMar>
        </w:tblPrEx>
        <w:trPr>
          <w:trHeight w:val="498" w:hRule="atLeast"/>
        </w:trPr>
        <w:tc>
          <w:tcPr>
            <w:tcW w:w="7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7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24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3.危及“三安全一稳定”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r>
      <w:tr>
        <w:tblPrEx>
          <w:tblCellMar>
            <w:top w:w="0" w:type="dxa"/>
            <w:left w:w="0" w:type="dxa"/>
            <w:bottom w:w="0" w:type="dxa"/>
            <w:right w:w="0" w:type="dxa"/>
          </w:tblCellMar>
        </w:tblPrEx>
        <w:trPr>
          <w:trHeight w:val="596" w:hRule="atLeast"/>
        </w:trPr>
        <w:tc>
          <w:tcPr>
            <w:tcW w:w="7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7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24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4.保护第三方合法权益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r>
      <w:tr>
        <w:tblPrEx>
          <w:tblCellMar>
            <w:top w:w="0" w:type="dxa"/>
            <w:left w:w="0" w:type="dxa"/>
            <w:bottom w:w="0" w:type="dxa"/>
            <w:right w:w="0" w:type="dxa"/>
          </w:tblCellMar>
        </w:tblPrEx>
        <w:trPr>
          <w:trHeight w:val="537" w:hRule="atLeast"/>
        </w:trPr>
        <w:tc>
          <w:tcPr>
            <w:tcW w:w="7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7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24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5.属于三类内部事务信息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r>
      <w:tr>
        <w:tblPrEx>
          <w:tblCellMar>
            <w:top w:w="0" w:type="dxa"/>
            <w:left w:w="0" w:type="dxa"/>
            <w:bottom w:w="0" w:type="dxa"/>
            <w:right w:w="0" w:type="dxa"/>
          </w:tblCellMar>
        </w:tblPrEx>
        <w:trPr>
          <w:trHeight w:val="655" w:hRule="atLeast"/>
        </w:trPr>
        <w:tc>
          <w:tcPr>
            <w:tcW w:w="7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7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24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6.属于四类过程性信息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r>
      <w:tr>
        <w:tblPrEx>
          <w:tblCellMar>
            <w:top w:w="0" w:type="dxa"/>
            <w:left w:w="0" w:type="dxa"/>
            <w:bottom w:w="0" w:type="dxa"/>
            <w:right w:w="0" w:type="dxa"/>
          </w:tblCellMar>
        </w:tblPrEx>
        <w:trPr>
          <w:trHeight w:val="478" w:hRule="atLeast"/>
        </w:trPr>
        <w:tc>
          <w:tcPr>
            <w:tcW w:w="7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7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24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7.属于行政执法案卷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r>
      <w:tr>
        <w:tblPrEx>
          <w:tblCellMar>
            <w:top w:w="0" w:type="dxa"/>
            <w:left w:w="0" w:type="dxa"/>
            <w:bottom w:w="0" w:type="dxa"/>
            <w:right w:w="0" w:type="dxa"/>
          </w:tblCellMar>
        </w:tblPrEx>
        <w:trPr>
          <w:trHeight w:val="419" w:hRule="atLeast"/>
        </w:trPr>
        <w:tc>
          <w:tcPr>
            <w:tcW w:w="7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7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24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8.属于行政查询事项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r>
      <w:tr>
        <w:tblPrEx>
          <w:tblCellMar>
            <w:top w:w="0" w:type="dxa"/>
            <w:left w:w="0" w:type="dxa"/>
            <w:bottom w:w="0" w:type="dxa"/>
            <w:right w:w="0" w:type="dxa"/>
          </w:tblCellMar>
        </w:tblPrEx>
        <w:trPr>
          <w:trHeight w:val="676" w:hRule="atLeast"/>
        </w:trPr>
        <w:tc>
          <w:tcPr>
            <w:tcW w:w="7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76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（四）无法提供</w:t>
            </w:r>
          </w:p>
        </w:tc>
        <w:tc>
          <w:tcPr>
            <w:tcW w:w="24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1.本机关不掌握相关政府信息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r>
      <w:tr>
        <w:tblPrEx>
          <w:tblCellMar>
            <w:top w:w="0" w:type="dxa"/>
            <w:left w:w="0" w:type="dxa"/>
            <w:bottom w:w="0" w:type="dxa"/>
            <w:right w:w="0" w:type="dxa"/>
          </w:tblCellMar>
        </w:tblPrEx>
        <w:trPr>
          <w:trHeight w:val="640" w:hRule="atLeast"/>
        </w:trPr>
        <w:tc>
          <w:tcPr>
            <w:tcW w:w="7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7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24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2.没有现成信息需要另行制作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r>
      <w:tr>
        <w:tblPrEx>
          <w:tblCellMar>
            <w:top w:w="0" w:type="dxa"/>
            <w:left w:w="0" w:type="dxa"/>
            <w:bottom w:w="0" w:type="dxa"/>
            <w:right w:w="0" w:type="dxa"/>
          </w:tblCellMar>
        </w:tblPrEx>
        <w:trPr>
          <w:trHeight w:val="676" w:hRule="atLeast"/>
        </w:trPr>
        <w:tc>
          <w:tcPr>
            <w:tcW w:w="7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7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24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3.补正后申请内容仍不明确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r>
      <w:tr>
        <w:tblPrEx>
          <w:tblCellMar>
            <w:top w:w="0" w:type="dxa"/>
            <w:left w:w="0" w:type="dxa"/>
            <w:bottom w:w="0" w:type="dxa"/>
            <w:right w:w="0" w:type="dxa"/>
          </w:tblCellMar>
        </w:tblPrEx>
        <w:trPr>
          <w:trHeight w:val="617" w:hRule="atLeast"/>
        </w:trPr>
        <w:tc>
          <w:tcPr>
            <w:tcW w:w="7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76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（五）不予处理</w:t>
            </w:r>
          </w:p>
        </w:tc>
        <w:tc>
          <w:tcPr>
            <w:tcW w:w="24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1.信访举报投诉类申请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r>
      <w:tr>
        <w:tblPrEx>
          <w:tblCellMar>
            <w:top w:w="0" w:type="dxa"/>
            <w:left w:w="0" w:type="dxa"/>
            <w:bottom w:w="0" w:type="dxa"/>
            <w:right w:w="0" w:type="dxa"/>
          </w:tblCellMar>
        </w:tblPrEx>
        <w:trPr>
          <w:trHeight w:val="519" w:hRule="atLeast"/>
        </w:trPr>
        <w:tc>
          <w:tcPr>
            <w:tcW w:w="7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7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24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2.重复申请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r>
      <w:tr>
        <w:tblPrEx>
          <w:tblCellMar>
            <w:top w:w="0" w:type="dxa"/>
            <w:left w:w="0" w:type="dxa"/>
            <w:bottom w:w="0" w:type="dxa"/>
            <w:right w:w="0" w:type="dxa"/>
          </w:tblCellMar>
        </w:tblPrEx>
        <w:trPr>
          <w:trHeight w:val="498" w:hRule="atLeast"/>
        </w:trPr>
        <w:tc>
          <w:tcPr>
            <w:tcW w:w="7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7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24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3.要求提供公开出版物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r>
      <w:tr>
        <w:tblPrEx>
          <w:tblCellMar>
            <w:top w:w="0" w:type="dxa"/>
            <w:left w:w="0" w:type="dxa"/>
            <w:bottom w:w="0" w:type="dxa"/>
            <w:right w:w="0" w:type="dxa"/>
          </w:tblCellMar>
        </w:tblPrEx>
        <w:trPr>
          <w:trHeight w:val="676" w:hRule="atLeast"/>
        </w:trPr>
        <w:tc>
          <w:tcPr>
            <w:tcW w:w="7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7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24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4.无正当理由大量反复申请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r>
      <w:tr>
        <w:tblPrEx>
          <w:tblCellMar>
            <w:top w:w="0" w:type="dxa"/>
            <w:left w:w="0" w:type="dxa"/>
            <w:bottom w:w="0" w:type="dxa"/>
            <w:right w:w="0" w:type="dxa"/>
          </w:tblCellMar>
        </w:tblPrEx>
        <w:trPr>
          <w:trHeight w:val="774" w:hRule="atLeast"/>
        </w:trPr>
        <w:tc>
          <w:tcPr>
            <w:tcW w:w="7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7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24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5.要求行政机关确认或重新出具已获取信息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r>
      <w:tr>
        <w:tblPrEx>
          <w:tblCellMar>
            <w:top w:w="0" w:type="dxa"/>
            <w:left w:w="0" w:type="dxa"/>
            <w:bottom w:w="0" w:type="dxa"/>
            <w:right w:w="0" w:type="dxa"/>
          </w:tblCellMar>
        </w:tblPrEx>
        <w:trPr>
          <w:trHeight w:val="498" w:hRule="atLeast"/>
        </w:trPr>
        <w:tc>
          <w:tcPr>
            <w:tcW w:w="7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323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（六）其他处理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r>
      <w:tr>
        <w:tblPrEx>
          <w:tblCellMar>
            <w:top w:w="0" w:type="dxa"/>
            <w:left w:w="0" w:type="dxa"/>
            <w:bottom w:w="0" w:type="dxa"/>
            <w:right w:w="0" w:type="dxa"/>
          </w:tblCellMar>
        </w:tblPrEx>
        <w:trPr>
          <w:trHeight w:val="401" w:hRule="atLeast"/>
        </w:trPr>
        <w:tc>
          <w:tcPr>
            <w:tcW w:w="7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323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（七）总计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r>
      <w:tr>
        <w:tblPrEx>
          <w:tblCellMar>
            <w:top w:w="0" w:type="dxa"/>
            <w:left w:w="0" w:type="dxa"/>
            <w:bottom w:w="0" w:type="dxa"/>
            <w:right w:w="0" w:type="dxa"/>
          </w:tblCellMar>
        </w:tblPrEx>
        <w:trPr>
          <w:trHeight w:val="449" w:hRule="atLeast"/>
        </w:trPr>
        <w:tc>
          <w:tcPr>
            <w:tcW w:w="400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四、结转下年度（2021）继续办理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r>
    </w:tbl>
    <w:p>
      <w:pPr>
        <w:keepNext w:val="0"/>
        <w:keepLines w:val="0"/>
        <w:pageBreakBefore w:val="0"/>
        <w:kinsoku/>
        <w:wordWrap/>
        <w:overflowPunct/>
        <w:topLinePunct w:val="0"/>
        <w:autoSpaceDE/>
        <w:autoSpaceDN/>
        <w:bidi w:val="0"/>
        <w:adjustRightInd/>
        <w:snapToGrid/>
        <w:spacing w:line="560" w:lineRule="exact"/>
        <w:ind w:firstLine="645"/>
        <w:textAlignment w:val="auto"/>
        <w:rPr>
          <w:rFonts w:hint="eastAsia" w:ascii="仿宋_GB2312" w:hAnsi="仿宋_GB2312" w:eastAsia="仿宋_GB2312" w:cs="仿宋_GB2312"/>
          <w:kern w:val="2"/>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ind w:firstLine="645"/>
        <w:textAlignment w:val="auto"/>
        <w:rPr>
          <w:rFonts w:hint="eastAsia" w:ascii="仿宋_GB2312" w:hAnsi="仿宋_GB2312" w:eastAsia="仿宋_GB2312" w:cs="仿宋_GB2312"/>
          <w:kern w:val="2"/>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ind w:firstLine="645"/>
        <w:textAlignment w:val="auto"/>
        <w:rPr>
          <w:rFonts w:hint="eastAsia" w:ascii="仿宋_GB2312" w:hAnsi="仿宋_GB2312" w:eastAsia="仿宋_GB2312" w:cs="仿宋_GB2312"/>
          <w:kern w:val="2"/>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ind w:firstLine="645"/>
        <w:textAlignment w:val="auto"/>
        <w:rPr>
          <w:rFonts w:hint="eastAsia" w:ascii="仿宋_GB2312" w:hAnsi="仿宋_GB2312" w:eastAsia="仿宋_GB2312" w:cs="仿宋_GB2312"/>
          <w:kern w:val="2"/>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ind w:firstLine="645"/>
        <w:textAlignment w:val="auto"/>
        <w:rPr>
          <w:rFonts w:hint="eastAsia" w:ascii="仿宋_GB2312" w:hAnsi="仿宋_GB2312" w:eastAsia="仿宋_GB2312" w:cs="仿宋_GB2312"/>
          <w:kern w:val="2"/>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ind w:firstLine="645"/>
        <w:textAlignment w:val="auto"/>
        <w:rPr>
          <w:rFonts w:hint="eastAsia" w:ascii="仿宋_GB2312" w:hAnsi="仿宋_GB2312" w:eastAsia="仿宋_GB2312" w:cs="仿宋_GB2312"/>
          <w:kern w:val="2"/>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ind w:firstLine="645"/>
        <w:textAlignment w:val="auto"/>
        <w:rPr>
          <w:rFonts w:hint="eastAsia" w:ascii="仿宋_GB2312" w:hAnsi="仿宋_GB2312" w:eastAsia="仿宋_GB2312" w:cs="仿宋_GB2312"/>
          <w:kern w:val="2"/>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ind w:firstLine="645"/>
        <w:textAlignment w:val="auto"/>
        <w:rPr>
          <w:rFonts w:hint="eastAsia" w:ascii="仿宋_GB2312" w:hAnsi="仿宋_GB2312" w:eastAsia="仿宋_GB2312" w:cs="仿宋_GB2312"/>
          <w:kern w:val="2"/>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ind w:firstLine="645"/>
        <w:textAlignment w:val="auto"/>
        <w:rPr>
          <w:rFonts w:hint="eastAsia" w:ascii="仿宋_GB2312" w:hAnsi="仿宋_GB2312" w:eastAsia="仿宋_GB2312" w:cs="仿宋_GB2312"/>
          <w:kern w:val="2"/>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ind w:firstLine="645"/>
        <w:textAlignment w:val="auto"/>
        <w:rPr>
          <w:rFonts w:hint="eastAsia" w:ascii="仿宋_GB2312" w:hAnsi="仿宋_GB2312" w:eastAsia="仿宋_GB2312" w:cs="仿宋_GB2312"/>
          <w:kern w:val="2"/>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ind w:firstLine="645"/>
        <w:textAlignment w:val="auto"/>
        <w:rPr>
          <w:rFonts w:hint="eastAsia" w:ascii="仿宋_GB2312" w:hAnsi="仿宋_GB2312" w:eastAsia="仿宋_GB2312" w:cs="仿宋_GB2312"/>
          <w:kern w:val="2"/>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ind w:firstLine="645"/>
        <w:textAlignment w:val="auto"/>
        <w:rPr>
          <w:rFonts w:hint="eastAsia" w:ascii="仿宋_GB2312" w:hAnsi="仿宋_GB2312" w:eastAsia="仿宋_GB2312" w:cs="仿宋_GB2312"/>
          <w:kern w:val="2"/>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ind w:firstLine="645"/>
        <w:textAlignment w:val="auto"/>
        <w:rPr>
          <w:rFonts w:hint="eastAsia" w:ascii="仿宋_GB2312" w:hAnsi="仿宋_GB2312" w:eastAsia="仿宋_GB2312" w:cs="仿宋_GB2312"/>
          <w:kern w:val="2"/>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ind w:firstLine="645"/>
        <w:textAlignment w:val="auto"/>
        <w:rPr>
          <w:rFonts w:hint="eastAsia" w:ascii="仿宋_GB2312" w:hAnsi="仿宋_GB2312" w:eastAsia="仿宋_GB2312" w:cs="仿宋_GB2312"/>
          <w:kern w:val="2"/>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ind w:firstLine="645"/>
        <w:textAlignment w:val="auto"/>
        <w:rPr>
          <w:rFonts w:hint="eastAsia" w:ascii="仿宋_GB2312" w:hAnsi="仿宋_GB2312" w:eastAsia="仿宋_GB2312" w:cs="仿宋_GB2312"/>
          <w:kern w:val="2"/>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ind w:firstLine="645"/>
        <w:textAlignment w:val="auto"/>
        <w:rPr>
          <w:rFonts w:hint="eastAsia" w:ascii="仿宋_GB2312" w:hAnsi="仿宋_GB2312" w:eastAsia="仿宋_GB2312" w:cs="仿宋_GB2312"/>
          <w:kern w:val="2"/>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ind w:firstLine="645"/>
        <w:textAlignment w:val="auto"/>
        <w:rPr>
          <w:rFonts w:hint="eastAsia" w:ascii="仿宋_GB2312" w:hAnsi="仿宋_GB2312" w:eastAsia="仿宋_GB2312" w:cs="仿宋_GB2312"/>
          <w:kern w:val="2"/>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ind w:firstLine="645"/>
        <w:textAlignment w:val="auto"/>
        <w:rPr>
          <w:rFonts w:hint="eastAsia" w:ascii="仿宋_GB2312" w:hAnsi="仿宋_GB2312" w:eastAsia="仿宋_GB2312" w:cs="仿宋_GB2312"/>
          <w:kern w:val="2"/>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ind w:firstLine="645"/>
        <w:textAlignment w:val="auto"/>
        <w:rPr>
          <w:rFonts w:hint="eastAsia" w:ascii="仿宋_GB2312" w:hAnsi="仿宋_GB2312" w:eastAsia="仿宋_GB2312" w:cs="仿宋_GB2312"/>
          <w:kern w:val="2"/>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ind w:firstLine="645"/>
        <w:textAlignment w:val="auto"/>
        <w:rPr>
          <w:rFonts w:hint="eastAsia" w:ascii="仿宋_GB2312" w:hAnsi="仿宋_GB2312" w:eastAsia="仿宋_GB2312" w:cs="仿宋_GB2312"/>
          <w:kern w:val="2"/>
          <w:sz w:val="32"/>
          <w:szCs w:val="32"/>
          <w:lang w:val="en-US" w:eastAsia="zh-CN"/>
        </w:rPr>
      </w:pPr>
    </w:p>
    <w:tbl>
      <w:tblPr>
        <w:tblStyle w:val="4"/>
        <w:tblpPr w:leftFromText="180" w:rightFromText="180" w:vertAnchor="text" w:horzAnchor="page" w:tblpX="1372" w:tblpY="137"/>
        <w:tblOverlap w:val="never"/>
        <w:tblW w:w="9240" w:type="dxa"/>
        <w:tblInd w:w="0" w:type="dxa"/>
        <w:shd w:val="clear" w:color="auto" w:fill="auto"/>
        <w:tblLayout w:type="autofit"/>
        <w:tblCellMar>
          <w:top w:w="0" w:type="dxa"/>
          <w:left w:w="0" w:type="dxa"/>
          <w:bottom w:w="0" w:type="dxa"/>
          <w:right w:w="0" w:type="dxa"/>
        </w:tblCellMar>
      </w:tblPr>
      <w:tblGrid>
        <w:gridCol w:w="571"/>
        <w:gridCol w:w="643"/>
        <w:gridCol w:w="643"/>
        <w:gridCol w:w="612"/>
        <w:gridCol w:w="686"/>
        <w:gridCol w:w="653"/>
        <w:gridCol w:w="551"/>
        <w:gridCol w:w="632"/>
        <w:gridCol w:w="530"/>
        <w:gridCol w:w="594"/>
        <w:gridCol w:w="632"/>
        <w:gridCol w:w="551"/>
        <w:gridCol w:w="520"/>
        <w:gridCol w:w="592"/>
        <w:gridCol w:w="830"/>
      </w:tblGrid>
      <w:tr>
        <w:tblPrEx>
          <w:shd w:val="clear" w:color="auto" w:fill="auto"/>
          <w:tblCellMar>
            <w:top w:w="0" w:type="dxa"/>
            <w:left w:w="0" w:type="dxa"/>
            <w:bottom w:w="0" w:type="dxa"/>
            <w:right w:w="0" w:type="dxa"/>
          </w:tblCellMar>
        </w:tblPrEx>
        <w:trPr>
          <w:trHeight w:val="897" w:hRule="atLeast"/>
        </w:trPr>
        <w:tc>
          <w:tcPr>
            <w:tcW w:w="9240" w:type="dxa"/>
            <w:gridSpan w:val="15"/>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36"/>
                <w:szCs w:val="36"/>
                <w:u w:val="none"/>
              </w:rPr>
            </w:pPr>
            <w:r>
              <w:rPr>
                <w:rFonts w:hint="eastAsia" w:ascii="宋体" w:hAnsi="宋体" w:eastAsia="宋体" w:cs="宋体"/>
                <w:i w:val="0"/>
                <w:color w:val="000000"/>
                <w:kern w:val="0"/>
                <w:sz w:val="36"/>
                <w:szCs w:val="36"/>
                <w:u w:val="none"/>
                <w:lang w:val="en-US" w:eastAsia="zh-CN" w:bidi="ar"/>
              </w:rPr>
              <w:t>政府信息公开行政复议、行政诉讼情况</w:t>
            </w:r>
          </w:p>
        </w:tc>
      </w:tr>
      <w:tr>
        <w:tblPrEx>
          <w:tblCellMar>
            <w:top w:w="0" w:type="dxa"/>
            <w:left w:w="0" w:type="dxa"/>
            <w:bottom w:w="0" w:type="dxa"/>
            <w:right w:w="0" w:type="dxa"/>
          </w:tblCellMar>
        </w:tblPrEx>
        <w:trPr>
          <w:trHeight w:val="692" w:hRule="atLeast"/>
        </w:trPr>
        <w:tc>
          <w:tcPr>
            <w:tcW w:w="3155" w:type="dxa"/>
            <w:gridSpan w:val="5"/>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8"/>
                <w:szCs w:val="28"/>
                <w:u w:val="none"/>
              </w:rPr>
            </w:pPr>
            <w:r>
              <w:rPr>
                <w:rFonts w:hint="eastAsia" w:ascii="宋体" w:hAnsi="宋体" w:eastAsia="宋体" w:cs="宋体"/>
                <w:i w:val="0"/>
                <w:color w:val="333333"/>
                <w:kern w:val="0"/>
                <w:sz w:val="28"/>
                <w:szCs w:val="28"/>
                <w:u w:val="none"/>
                <w:lang w:val="en-US" w:eastAsia="zh-CN" w:bidi="ar"/>
              </w:rPr>
              <w:t>行政复议</w:t>
            </w:r>
          </w:p>
        </w:tc>
        <w:tc>
          <w:tcPr>
            <w:tcW w:w="6085" w:type="dxa"/>
            <w:gridSpan w:val="10"/>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8"/>
                <w:szCs w:val="28"/>
                <w:u w:val="none"/>
              </w:rPr>
            </w:pPr>
            <w:r>
              <w:rPr>
                <w:rFonts w:hint="eastAsia" w:ascii="宋体" w:hAnsi="宋体" w:eastAsia="宋体" w:cs="宋体"/>
                <w:i w:val="0"/>
                <w:color w:val="333333"/>
                <w:kern w:val="0"/>
                <w:sz w:val="28"/>
                <w:szCs w:val="28"/>
                <w:u w:val="none"/>
                <w:lang w:val="en-US" w:eastAsia="zh-CN" w:bidi="ar"/>
              </w:rPr>
              <w:t>行政诉讼</w:t>
            </w:r>
          </w:p>
        </w:tc>
      </w:tr>
      <w:tr>
        <w:tblPrEx>
          <w:tblCellMar>
            <w:top w:w="0" w:type="dxa"/>
            <w:left w:w="0" w:type="dxa"/>
            <w:bottom w:w="0" w:type="dxa"/>
            <w:right w:w="0" w:type="dxa"/>
          </w:tblCellMar>
        </w:tblPrEx>
        <w:trPr>
          <w:trHeight w:val="848" w:hRule="atLeast"/>
        </w:trPr>
        <w:tc>
          <w:tcPr>
            <w:tcW w:w="57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8"/>
                <w:szCs w:val="28"/>
                <w:u w:val="none"/>
              </w:rPr>
            </w:pPr>
            <w:r>
              <w:rPr>
                <w:rFonts w:hint="eastAsia" w:ascii="宋体" w:hAnsi="宋体" w:eastAsia="宋体" w:cs="宋体"/>
                <w:i w:val="0"/>
                <w:color w:val="333333"/>
                <w:kern w:val="0"/>
                <w:sz w:val="28"/>
                <w:szCs w:val="28"/>
                <w:u w:val="none"/>
                <w:lang w:val="en-US" w:eastAsia="zh-CN" w:bidi="ar"/>
              </w:rPr>
              <w:t>结果维持</w:t>
            </w:r>
          </w:p>
        </w:tc>
        <w:tc>
          <w:tcPr>
            <w:tcW w:w="643"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8"/>
                <w:szCs w:val="28"/>
                <w:u w:val="none"/>
              </w:rPr>
            </w:pPr>
            <w:r>
              <w:rPr>
                <w:rFonts w:hint="eastAsia" w:ascii="宋体" w:hAnsi="宋体" w:eastAsia="宋体" w:cs="宋体"/>
                <w:i w:val="0"/>
                <w:color w:val="333333"/>
                <w:kern w:val="0"/>
                <w:sz w:val="28"/>
                <w:szCs w:val="28"/>
                <w:u w:val="none"/>
                <w:lang w:val="en-US" w:eastAsia="zh-CN" w:bidi="ar"/>
              </w:rPr>
              <w:t>结果纠正</w:t>
            </w:r>
          </w:p>
        </w:tc>
        <w:tc>
          <w:tcPr>
            <w:tcW w:w="643"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8"/>
                <w:szCs w:val="28"/>
                <w:u w:val="none"/>
              </w:rPr>
            </w:pPr>
            <w:r>
              <w:rPr>
                <w:rFonts w:hint="eastAsia" w:ascii="宋体" w:hAnsi="宋体" w:eastAsia="宋体" w:cs="宋体"/>
                <w:i w:val="0"/>
                <w:color w:val="333333"/>
                <w:kern w:val="0"/>
                <w:sz w:val="28"/>
                <w:szCs w:val="28"/>
                <w:u w:val="none"/>
                <w:lang w:val="en-US" w:eastAsia="zh-CN" w:bidi="ar"/>
              </w:rPr>
              <w:t>其他结果</w:t>
            </w:r>
          </w:p>
        </w:tc>
        <w:tc>
          <w:tcPr>
            <w:tcW w:w="61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8"/>
                <w:szCs w:val="28"/>
                <w:u w:val="none"/>
              </w:rPr>
            </w:pPr>
            <w:r>
              <w:rPr>
                <w:rFonts w:hint="eastAsia" w:ascii="宋体" w:hAnsi="宋体" w:eastAsia="宋体" w:cs="宋体"/>
                <w:i w:val="0"/>
                <w:color w:val="333333"/>
                <w:kern w:val="0"/>
                <w:sz w:val="28"/>
                <w:szCs w:val="28"/>
                <w:u w:val="none"/>
                <w:lang w:val="en-US" w:eastAsia="zh-CN" w:bidi="ar"/>
              </w:rPr>
              <w:t>尚未审结</w:t>
            </w:r>
          </w:p>
        </w:tc>
        <w:tc>
          <w:tcPr>
            <w:tcW w:w="68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8"/>
                <w:szCs w:val="28"/>
                <w:u w:val="none"/>
              </w:rPr>
            </w:pPr>
            <w:r>
              <w:rPr>
                <w:rFonts w:hint="eastAsia" w:ascii="宋体" w:hAnsi="宋体" w:eastAsia="宋体" w:cs="宋体"/>
                <w:i w:val="0"/>
                <w:color w:val="333333"/>
                <w:kern w:val="0"/>
                <w:sz w:val="28"/>
                <w:szCs w:val="28"/>
                <w:u w:val="none"/>
                <w:lang w:val="en-US" w:eastAsia="zh-CN" w:bidi="ar"/>
              </w:rPr>
              <w:t>总计</w:t>
            </w:r>
          </w:p>
        </w:tc>
        <w:tc>
          <w:tcPr>
            <w:tcW w:w="2960" w:type="dxa"/>
            <w:gridSpan w:val="5"/>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8"/>
                <w:szCs w:val="28"/>
                <w:u w:val="none"/>
              </w:rPr>
            </w:pPr>
            <w:r>
              <w:rPr>
                <w:rFonts w:hint="eastAsia" w:ascii="宋体" w:hAnsi="宋体" w:eastAsia="宋体" w:cs="宋体"/>
                <w:i w:val="0"/>
                <w:color w:val="333333"/>
                <w:kern w:val="0"/>
                <w:sz w:val="28"/>
                <w:szCs w:val="28"/>
                <w:u w:val="none"/>
                <w:lang w:val="en-US" w:eastAsia="zh-CN" w:bidi="ar"/>
              </w:rPr>
              <w:t>未经复议直接起诉</w:t>
            </w:r>
          </w:p>
        </w:tc>
        <w:tc>
          <w:tcPr>
            <w:tcW w:w="3125" w:type="dxa"/>
            <w:gridSpan w:val="5"/>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8"/>
                <w:szCs w:val="28"/>
                <w:u w:val="none"/>
              </w:rPr>
            </w:pPr>
            <w:r>
              <w:rPr>
                <w:rFonts w:hint="eastAsia" w:ascii="宋体" w:hAnsi="宋体" w:eastAsia="宋体" w:cs="宋体"/>
                <w:i w:val="0"/>
                <w:color w:val="333333"/>
                <w:kern w:val="0"/>
                <w:sz w:val="28"/>
                <w:szCs w:val="28"/>
                <w:u w:val="none"/>
                <w:lang w:val="en-US" w:eastAsia="zh-CN" w:bidi="ar"/>
              </w:rPr>
              <w:t>复议后起诉</w:t>
            </w:r>
          </w:p>
        </w:tc>
      </w:tr>
      <w:tr>
        <w:tblPrEx>
          <w:tblCellMar>
            <w:top w:w="0" w:type="dxa"/>
            <w:left w:w="0" w:type="dxa"/>
            <w:bottom w:w="0" w:type="dxa"/>
            <w:right w:w="0" w:type="dxa"/>
          </w:tblCellMar>
        </w:tblPrEx>
        <w:trPr>
          <w:trHeight w:val="1613" w:hRule="atLeast"/>
        </w:trPr>
        <w:tc>
          <w:tcPr>
            <w:tcW w:w="57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333333"/>
                <w:sz w:val="28"/>
                <w:szCs w:val="28"/>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333333"/>
                <w:sz w:val="28"/>
                <w:szCs w:val="28"/>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333333"/>
                <w:sz w:val="28"/>
                <w:szCs w:val="28"/>
                <w:u w:val="none"/>
              </w:rPr>
            </w:pPr>
          </w:p>
        </w:tc>
        <w:tc>
          <w:tcPr>
            <w:tcW w:w="61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333333"/>
                <w:sz w:val="28"/>
                <w:szCs w:val="28"/>
                <w:u w:val="none"/>
              </w:rPr>
            </w:pPr>
          </w:p>
        </w:tc>
        <w:tc>
          <w:tcPr>
            <w:tcW w:w="6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333333"/>
                <w:sz w:val="28"/>
                <w:szCs w:val="28"/>
                <w:u w:val="none"/>
              </w:rPr>
            </w:pPr>
          </w:p>
        </w:tc>
        <w:tc>
          <w:tcPr>
            <w:tcW w:w="6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8"/>
                <w:szCs w:val="28"/>
                <w:u w:val="none"/>
              </w:rPr>
            </w:pPr>
            <w:r>
              <w:rPr>
                <w:rFonts w:hint="eastAsia" w:ascii="宋体" w:hAnsi="宋体" w:eastAsia="宋体" w:cs="宋体"/>
                <w:i w:val="0"/>
                <w:color w:val="333333"/>
                <w:kern w:val="0"/>
                <w:sz w:val="28"/>
                <w:szCs w:val="28"/>
                <w:u w:val="none"/>
                <w:lang w:val="en-US" w:eastAsia="zh-CN" w:bidi="ar"/>
              </w:rPr>
              <w:t>结果维持</w:t>
            </w:r>
          </w:p>
        </w:tc>
        <w:tc>
          <w:tcPr>
            <w:tcW w:w="5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8"/>
                <w:szCs w:val="28"/>
                <w:u w:val="none"/>
              </w:rPr>
            </w:pPr>
            <w:r>
              <w:rPr>
                <w:rFonts w:hint="eastAsia" w:ascii="宋体" w:hAnsi="宋体" w:eastAsia="宋体" w:cs="宋体"/>
                <w:i w:val="0"/>
                <w:color w:val="333333"/>
                <w:kern w:val="0"/>
                <w:sz w:val="28"/>
                <w:szCs w:val="28"/>
                <w:u w:val="none"/>
                <w:lang w:val="en-US" w:eastAsia="zh-CN" w:bidi="ar"/>
              </w:rPr>
              <w:t>结果纠正</w:t>
            </w:r>
          </w:p>
        </w:tc>
        <w:tc>
          <w:tcPr>
            <w:tcW w:w="6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8"/>
                <w:szCs w:val="28"/>
                <w:u w:val="none"/>
              </w:rPr>
            </w:pPr>
            <w:r>
              <w:rPr>
                <w:rFonts w:hint="eastAsia" w:ascii="宋体" w:hAnsi="宋体" w:eastAsia="宋体" w:cs="宋体"/>
                <w:i w:val="0"/>
                <w:color w:val="333333"/>
                <w:kern w:val="0"/>
                <w:sz w:val="28"/>
                <w:szCs w:val="28"/>
                <w:u w:val="none"/>
                <w:lang w:val="en-US" w:eastAsia="zh-CN" w:bidi="ar"/>
              </w:rPr>
              <w:t>其他结果</w:t>
            </w:r>
          </w:p>
        </w:tc>
        <w:tc>
          <w:tcPr>
            <w:tcW w:w="5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8"/>
                <w:szCs w:val="28"/>
                <w:u w:val="none"/>
              </w:rPr>
            </w:pPr>
            <w:r>
              <w:rPr>
                <w:rFonts w:hint="eastAsia" w:ascii="宋体" w:hAnsi="宋体" w:eastAsia="宋体" w:cs="宋体"/>
                <w:i w:val="0"/>
                <w:color w:val="333333"/>
                <w:kern w:val="0"/>
                <w:sz w:val="28"/>
                <w:szCs w:val="28"/>
                <w:u w:val="none"/>
                <w:lang w:val="en-US" w:eastAsia="zh-CN" w:bidi="ar"/>
              </w:rPr>
              <w:t>尚未审结</w:t>
            </w:r>
          </w:p>
        </w:tc>
        <w:tc>
          <w:tcPr>
            <w:tcW w:w="5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总计</w:t>
            </w:r>
          </w:p>
        </w:tc>
        <w:tc>
          <w:tcPr>
            <w:tcW w:w="6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8"/>
                <w:szCs w:val="28"/>
                <w:u w:val="none"/>
              </w:rPr>
            </w:pPr>
            <w:r>
              <w:rPr>
                <w:rFonts w:hint="eastAsia" w:ascii="宋体" w:hAnsi="宋体" w:eastAsia="宋体" w:cs="宋体"/>
                <w:i w:val="0"/>
                <w:color w:val="333333"/>
                <w:kern w:val="0"/>
                <w:sz w:val="28"/>
                <w:szCs w:val="28"/>
                <w:u w:val="none"/>
                <w:lang w:val="en-US" w:eastAsia="zh-CN" w:bidi="ar"/>
              </w:rPr>
              <w:t>结果维持</w:t>
            </w:r>
          </w:p>
        </w:tc>
        <w:tc>
          <w:tcPr>
            <w:tcW w:w="5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8"/>
                <w:szCs w:val="28"/>
                <w:u w:val="none"/>
              </w:rPr>
            </w:pPr>
            <w:r>
              <w:rPr>
                <w:rFonts w:hint="eastAsia" w:ascii="宋体" w:hAnsi="宋体" w:eastAsia="宋体" w:cs="宋体"/>
                <w:i w:val="0"/>
                <w:color w:val="333333"/>
                <w:kern w:val="0"/>
                <w:sz w:val="28"/>
                <w:szCs w:val="28"/>
                <w:u w:val="none"/>
                <w:lang w:val="en-US" w:eastAsia="zh-CN" w:bidi="ar"/>
              </w:rPr>
              <w:t>结果纠正</w:t>
            </w:r>
          </w:p>
        </w:tc>
        <w:tc>
          <w:tcPr>
            <w:tcW w:w="5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其他结果</w:t>
            </w:r>
          </w:p>
        </w:tc>
        <w:tc>
          <w:tcPr>
            <w:tcW w:w="5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8"/>
                <w:szCs w:val="28"/>
                <w:u w:val="none"/>
              </w:rPr>
            </w:pPr>
            <w:r>
              <w:rPr>
                <w:rFonts w:hint="eastAsia" w:ascii="宋体" w:hAnsi="宋体" w:eastAsia="宋体" w:cs="宋体"/>
                <w:i w:val="0"/>
                <w:color w:val="333333"/>
                <w:kern w:val="0"/>
                <w:sz w:val="28"/>
                <w:szCs w:val="28"/>
                <w:u w:val="none"/>
                <w:lang w:val="en-US" w:eastAsia="zh-CN" w:bidi="ar"/>
              </w:rPr>
              <w:t>尚未审结</w:t>
            </w:r>
          </w:p>
        </w:tc>
        <w:tc>
          <w:tcPr>
            <w:tcW w:w="8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总计</w:t>
            </w:r>
          </w:p>
        </w:tc>
      </w:tr>
      <w:tr>
        <w:tblPrEx>
          <w:tblCellMar>
            <w:top w:w="0" w:type="dxa"/>
            <w:left w:w="0" w:type="dxa"/>
            <w:bottom w:w="0" w:type="dxa"/>
            <w:right w:w="0" w:type="dxa"/>
          </w:tblCellMar>
        </w:tblPrEx>
        <w:trPr>
          <w:trHeight w:val="1093" w:hRule="atLeast"/>
        </w:trPr>
        <w:tc>
          <w:tcPr>
            <w:tcW w:w="5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0</w:t>
            </w: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0</w:t>
            </w: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0</w:t>
            </w:r>
          </w:p>
        </w:tc>
        <w:tc>
          <w:tcPr>
            <w:tcW w:w="6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0</w:t>
            </w:r>
          </w:p>
        </w:tc>
        <w:tc>
          <w:tcPr>
            <w:tcW w:w="6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0</w:t>
            </w:r>
          </w:p>
        </w:tc>
        <w:tc>
          <w:tcPr>
            <w:tcW w:w="6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0</w:t>
            </w:r>
          </w:p>
        </w:tc>
        <w:tc>
          <w:tcPr>
            <w:tcW w:w="5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0</w:t>
            </w:r>
          </w:p>
        </w:tc>
        <w:tc>
          <w:tcPr>
            <w:tcW w:w="6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0</w:t>
            </w:r>
          </w:p>
        </w:tc>
        <w:tc>
          <w:tcPr>
            <w:tcW w:w="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0</w:t>
            </w:r>
          </w:p>
        </w:tc>
        <w:tc>
          <w:tcPr>
            <w:tcW w:w="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0</w:t>
            </w:r>
          </w:p>
        </w:tc>
        <w:tc>
          <w:tcPr>
            <w:tcW w:w="6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0</w:t>
            </w:r>
          </w:p>
        </w:tc>
        <w:tc>
          <w:tcPr>
            <w:tcW w:w="5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0</w:t>
            </w:r>
          </w:p>
        </w:tc>
        <w:tc>
          <w:tcPr>
            <w:tcW w:w="5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0</w:t>
            </w:r>
          </w:p>
        </w:tc>
        <w:tc>
          <w:tcPr>
            <w:tcW w:w="5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0</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0</w:t>
            </w:r>
          </w:p>
        </w:tc>
      </w:tr>
    </w:tbl>
    <w:p>
      <w:pPr>
        <w:keepNext w:val="0"/>
        <w:keepLines w:val="0"/>
        <w:pageBreakBefore w:val="0"/>
        <w:kinsoku/>
        <w:wordWrap/>
        <w:overflowPunct/>
        <w:topLinePunct w:val="0"/>
        <w:autoSpaceDE/>
        <w:autoSpaceDN/>
        <w:bidi w:val="0"/>
        <w:adjustRightInd/>
        <w:snapToGrid/>
        <w:spacing w:line="560" w:lineRule="exact"/>
        <w:ind w:firstLine="645"/>
        <w:textAlignment w:val="auto"/>
        <w:rPr>
          <w:rFonts w:hint="eastAsia" w:ascii="仿宋_GB2312" w:hAnsi="仿宋_GB2312" w:eastAsia="仿宋_GB2312" w:cs="仿宋_GB2312"/>
          <w:kern w:val="2"/>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ind w:firstLine="645"/>
        <w:textAlignment w:val="auto"/>
        <w:rPr>
          <w:rFonts w:hint="eastAsia" w:ascii="仿宋_GB2312" w:hAnsi="仿宋_GB2312" w:eastAsia="仿宋_GB2312" w:cs="仿宋_GB2312"/>
          <w:kern w:val="2"/>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ind w:firstLine="645"/>
        <w:textAlignment w:val="auto"/>
        <w:rPr>
          <w:rFonts w:hint="eastAsia" w:ascii="仿宋_GB2312" w:hAnsi="仿宋_GB2312" w:eastAsia="仿宋_GB2312" w:cs="仿宋_GB2312"/>
          <w:kern w:val="2"/>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ind w:firstLine="645"/>
        <w:textAlignment w:val="auto"/>
        <w:rPr>
          <w:rFonts w:hint="eastAsia" w:ascii="仿宋_GB2312" w:hAnsi="仿宋_GB2312" w:eastAsia="仿宋_GB2312" w:cs="仿宋_GB2312"/>
          <w:kern w:val="2"/>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ind w:firstLine="645"/>
        <w:textAlignment w:val="auto"/>
        <w:rPr>
          <w:rFonts w:hint="eastAsia" w:ascii="仿宋_GB2312" w:hAnsi="仿宋_GB2312" w:eastAsia="仿宋_GB2312" w:cs="仿宋_GB2312"/>
          <w:kern w:val="2"/>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ind w:firstLine="645"/>
        <w:textAlignment w:val="auto"/>
        <w:rPr>
          <w:rFonts w:hint="eastAsia" w:ascii="仿宋_GB2312" w:hAnsi="仿宋_GB2312" w:eastAsia="仿宋_GB2312" w:cs="仿宋_GB2312"/>
          <w:kern w:val="2"/>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ind w:firstLine="645"/>
        <w:textAlignment w:val="auto"/>
        <w:rPr>
          <w:rFonts w:hint="eastAsia" w:ascii="仿宋_GB2312" w:hAnsi="仿宋_GB2312" w:eastAsia="仿宋_GB2312" w:cs="仿宋_GB2312"/>
          <w:kern w:val="2"/>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ind w:firstLine="645"/>
        <w:textAlignment w:val="auto"/>
        <w:rPr>
          <w:rFonts w:hint="eastAsia" w:ascii="仿宋_GB2312" w:hAnsi="仿宋_GB2312" w:eastAsia="仿宋_GB2312" w:cs="仿宋_GB2312"/>
          <w:kern w:val="2"/>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ind w:firstLine="645"/>
        <w:textAlignment w:val="auto"/>
        <w:rPr>
          <w:rFonts w:hint="eastAsia" w:ascii="仿宋_GB2312" w:hAnsi="仿宋_GB2312" w:eastAsia="仿宋_GB2312" w:cs="仿宋_GB2312"/>
          <w:kern w:val="2"/>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ind w:firstLine="645"/>
        <w:textAlignment w:val="auto"/>
        <w:rPr>
          <w:rFonts w:hint="eastAsia" w:ascii="仿宋_GB2312" w:hAnsi="仿宋_GB2312" w:eastAsia="仿宋_GB2312" w:cs="仿宋_GB2312"/>
          <w:kern w:val="2"/>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ind w:firstLine="645"/>
        <w:textAlignment w:val="auto"/>
        <w:rPr>
          <w:rFonts w:hint="eastAsia" w:ascii="仿宋_GB2312" w:hAnsi="仿宋_GB2312" w:eastAsia="仿宋_GB2312" w:cs="仿宋_GB2312"/>
          <w:kern w:val="2"/>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kern w:val="2"/>
          <w:sz w:val="32"/>
          <w:szCs w:val="32"/>
          <w:lang w:val="en-US" w:eastAsia="zh-CN"/>
        </w:rPr>
      </w:pPr>
    </w:p>
    <w:p>
      <w:pPr>
        <w:keepNext w:val="0"/>
        <w:keepLines w:val="0"/>
        <w:pageBreakBefore w:val="0"/>
        <w:widowControl/>
        <w:kinsoku/>
        <w:wordWrap/>
        <w:overflowPunct/>
        <w:topLinePunct w:val="0"/>
        <w:autoSpaceDE/>
        <w:autoSpaceDN/>
        <w:bidi w:val="0"/>
        <w:adjustRightInd/>
        <w:snapToGrid/>
        <w:spacing w:before="313" w:beforeLines="100" w:after="313" w:afterLines="100" w:line="560" w:lineRule="exact"/>
        <w:jc w:val="center"/>
        <w:textAlignment w:val="auto"/>
        <w:rPr>
          <w:rFonts w:hint="eastAsia" w:ascii="黑体" w:hAnsi="黑体" w:eastAsia="黑体" w:cs="黑体"/>
          <w:kern w:val="2"/>
          <w:sz w:val="36"/>
          <w:szCs w:val="36"/>
          <w:lang w:val="en-US" w:eastAsia="zh-CN"/>
        </w:rPr>
      </w:pPr>
      <w:r>
        <w:rPr>
          <w:rFonts w:hint="eastAsia" w:ascii="黑体" w:hAnsi="黑体" w:eastAsia="黑体" w:cs="黑体"/>
          <w:kern w:val="2"/>
          <w:sz w:val="36"/>
          <w:szCs w:val="36"/>
          <w:lang w:val="en-US" w:eastAsia="zh-CN"/>
        </w:rPr>
        <w:t>2021年政务公开工作思路</w:t>
      </w:r>
    </w:p>
    <w:p>
      <w:pPr>
        <w:keepNext w:val="0"/>
        <w:keepLines w:val="0"/>
        <w:pageBreakBefore w:val="0"/>
        <w:kinsoku/>
        <w:wordWrap/>
        <w:overflowPunct/>
        <w:topLinePunct w:val="0"/>
        <w:autoSpaceDE/>
        <w:autoSpaceDN/>
        <w:bidi w:val="0"/>
        <w:adjustRightInd/>
        <w:snapToGrid/>
        <w:spacing w:line="560" w:lineRule="exact"/>
        <w:ind w:firstLine="645"/>
        <w:textAlignment w:val="auto"/>
        <w:rPr>
          <w:rFonts w:hint="eastAsia" w:ascii="仿宋_GB2312" w:hAnsi="仿宋" w:eastAsia="仿宋_GB2312" w:cs="仿宋"/>
          <w:sz w:val="32"/>
          <w:szCs w:val="32"/>
          <w:lang w:eastAsia="zh-CN"/>
        </w:rPr>
      </w:pPr>
      <w:r>
        <w:rPr>
          <w:rFonts w:hint="eastAsia" w:ascii="仿宋_GB2312" w:hAnsi="仿宋" w:eastAsia="仿宋_GB2312" w:cs="仿宋"/>
          <w:sz w:val="32"/>
          <w:szCs w:val="32"/>
        </w:rPr>
        <w:t>202</w:t>
      </w:r>
      <w:r>
        <w:rPr>
          <w:rFonts w:hint="eastAsia" w:ascii="仿宋_GB2312" w:hAnsi="仿宋" w:eastAsia="仿宋_GB2312" w:cs="仿宋"/>
          <w:sz w:val="32"/>
          <w:szCs w:val="32"/>
          <w:lang w:val="en-US" w:eastAsia="zh-CN"/>
        </w:rPr>
        <w:t>1</w:t>
      </w:r>
      <w:r>
        <w:rPr>
          <w:rFonts w:hint="eastAsia" w:ascii="仿宋_GB2312" w:hAnsi="仿宋" w:eastAsia="仿宋_GB2312" w:cs="仿宋"/>
          <w:sz w:val="32"/>
          <w:szCs w:val="32"/>
        </w:rPr>
        <w:t>年，</w:t>
      </w:r>
      <w:r>
        <w:rPr>
          <w:rFonts w:hint="eastAsia" w:ascii="仿宋_GB2312" w:hAnsi="仿宋" w:eastAsia="仿宋_GB2312" w:cs="仿宋"/>
          <w:sz w:val="32"/>
          <w:szCs w:val="32"/>
          <w:lang w:eastAsia="zh-CN"/>
        </w:rPr>
        <w:t>浦口街道</w:t>
      </w:r>
      <w:r>
        <w:rPr>
          <w:rFonts w:hint="eastAsia" w:ascii="仿宋_GB2312" w:hAnsi="仿宋" w:eastAsia="仿宋_GB2312" w:cs="仿宋"/>
          <w:sz w:val="32"/>
          <w:szCs w:val="32"/>
        </w:rPr>
        <w:t>将认真贯彻</w:t>
      </w:r>
      <w:r>
        <w:rPr>
          <w:rFonts w:hint="eastAsia" w:ascii="仿宋_GB2312" w:hAnsi="仿宋" w:eastAsia="仿宋_GB2312" w:cs="仿宋"/>
          <w:sz w:val="32"/>
          <w:szCs w:val="32"/>
          <w:lang w:eastAsia="zh-CN"/>
        </w:rPr>
        <w:t>上级有关文件精神和要求，</w:t>
      </w:r>
      <w:r>
        <w:rPr>
          <w:rFonts w:hint="eastAsia" w:ascii="仿宋_GB2312" w:hAnsi="仿宋" w:eastAsia="仿宋_GB2312" w:cs="仿宋"/>
          <w:sz w:val="32"/>
          <w:szCs w:val="32"/>
        </w:rPr>
        <w:t>按照市委、市政府的</w:t>
      </w:r>
      <w:r>
        <w:rPr>
          <w:rFonts w:hint="eastAsia" w:ascii="仿宋_GB2312" w:hAnsi="仿宋" w:eastAsia="仿宋_GB2312" w:cs="仿宋"/>
          <w:sz w:val="32"/>
          <w:szCs w:val="32"/>
          <w:lang w:eastAsia="zh-CN"/>
        </w:rPr>
        <w:t>决策部署</w:t>
      </w:r>
      <w:r>
        <w:rPr>
          <w:rFonts w:hint="eastAsia" w:ascii="仿宋_GB2312" w:hAnsi="仿宋" w:eastAsia="仿宋_GB2312" w:cs="仿宋"/>
          <w:sz w:val="32"/>
          <w:szCs w:val="32"/>
        </w:rPr>
        <w:t>，对存在问题要认真加以研究整改，重点做好以下几方面工作</w:t>
      </w:r>
      <w:r>
        <w:rPr>
          <w:rFonts w:hint="eastAsia" w:ascii="仿宋_GB2312" w:hAnsi="仿宋" w:eastAsia="仿宋_GB2312" w:cs="仿宋"/>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firstLine="645"/>
        <w:textAlignment w:val="auto"/>
        <w:rPr>
          <w:rFonts w:hint="eastAsia" w:ascii="仿宋_GB2312" w:eastAsia="仿宋_GB2312"/>
          <w:color w:val="000000"/>
          <w:sz w:val="32"/>
          <w:szCs w:val="32"/>
          <w:shd w:val="clear" w:color="auto" w:fill="FAFAFA"/>
          <w:lang w:eastAsia="zh-CN"/>
        </w:rPr>
      </w:pPr>
      <w:r>
        <w:rPr>
          <w:rFonts w:hint="eastAsia" w:ascii="仿宋_GB2312" w:hAnsi="仿宋" w:eastAsia="仿宋_GB2312" w:cs="仿宋"/>
          <w:b/>
          <w:sz w:val="32"/>
          <w:szCs w:val="32"/>
        </w:rPr>
        <w:t>一是</w:t>
      </w:r>
      <w:r>
        <w:rPr>
          <w:rFonts w:hint="eastAsia" w:ascii="仿宋_GB2312" w:hAnsi="仿宋" w:eastAsia="仿宋_GB2312" w:cs="仿宋"/>
          <w:sz w:val="32"/>
          <w:szCs w:val="32"/>
        </w:rPr>
        <w:t>进一步提高政务公开工作的</w:t>
      </w:r>
      <w:r>
        <w:rPr>
          <w:rFonts w:hint="eastAsia" w:ascii="仿宋_GB2312" w:hAnsi="仿宋" w:eastAsia="仿宋_GB2312" w:cs="仿宋"/>
          <w:sz w:val="32"/>
          <w:szCs w:val="32"/>
          <w:lang w:eastAsia="zh-CN"/>
        </w:rPr>
        <w:t>思想认识</w:t>
      </w:r>
      <w:r>
        <w:rPr>
          <w:rFonts w:hint="eastAsia" w:ascii="仿宋_GB2312" w:hAnsi="仿宋" w:eastAsia="仿宋_GB2312" w:cs="仿宋"/>
          <w:sz w:val="32"/>
          <w:szCs w:val="32"/>
        </w:rPr>
        <w:t>，切实将</w:t>
      </w:r>
      <w:r>
        <w:rPr>
          <w:rFonts w:hint="eastAsia" w:ascii="仿宋_GB2312" w:hAnsi="仿宋" w:eastAsia="仿宋_GB2312" w:cs="仿宋"/>
          <w:sz w:val="32"/>
          <w:szCs w:val="32"/>
          <w:lang w:eastAsia="zh-CN"/>
        </w:rPr>
        <w:t>政务信息</w:t>
      </w:r>
      <w:r>
        <w:rPr>
          <w:rFonts w:hint="eastAsia" w:ascii="仿宋_GB2312" w:hAnsi="仿宋" w:eastAsia="仿宋_GB2312" w:cs="仿宋"/>
          <w:sz w:val="32"/>
          <w:szCs w:val="32"/>
        </w:rPr>
        <w:t>公开工作作为加强党风廉政建设</w:t>
      </w:r>
      <w:r>
        <w:rPr>
          <w:rFonts w:hint="eastAsia" w:ascii="仿宋_GB2312" w:hAnsi="仿宋" w:eastAsia="仿宋_GB2312" w:cs="仿宋"/>
          <w:sz w:val="32"/>
          <w:szCs w:val="32"/>
          <w:lang w:eastAsia="zh-CN"/>
        </w:rPr>
        <w:t>、倒逼</w:t>
      </w:r>
      <w:r>
        <w:rPr>
          <w:rFonts w:hint="eastAsia" w:ascii="仿宋_GB2312" w:hAnsi="仿宋" w:eastAsia="仿宋_GB2312" w:cs="仿宋"/>
          <w:sz w:val="32"/>
          <w:szCs w:val="32"/>
        </w:rPr>
        <w:t>机关工作人员</w:t>
      </w:r>
      <w:r>
        <w:rPr>
          <w:rFonts w:hint="eastAsia" w:ascii="仿宋_GB2312" w:hAnsi="仿宋" w:eastAsia="仿宋_GB2312" w:cs="仿宋"/>
          <w:sz w:val="32"/>
          <w:szCs w:val="32"/>
          <w:lang w:eastAsia="zh-CN"/>
        </w:rPr>
        <w:t>改进</w:t>
      </w:r>
      <w:r>
        <w:rPr>
          <w:rFonts w:hint="eastAsia" w:ascii="仿宋_GB2312" w:hAnsi="仿宋" w:eastAsia="仿宋_GB2312" w:cs="仿宋"/>
          <w:sz w:val="32"/>
          <w:szCs w:val="32"/>
        </w:rPr>
        <w:t>工作作风</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rPr>
        <w:t>增强廉洁从政意识</w:t>
      </w:r>
      <w:r>
        <w:rPr>
          <w:rFonts w:hint="eastAsia" w:ascii="仿宋_GB2312" w:hAnsi="仿宋" w:eastAsia="仿宋_GB2312" w:cs="仿宋"/>
          <w:sz w:val="32"/>
          <w:szCs w:val="32"/>
          <w:lang w:eastAsia="zh-CN"/>
        </w:rPr>
        <w:t>的有力抓手。坚持</w:t>
      </w:r>
      <w:r>
        <w:rPr>
          <w:rFonts w:hint="eastAsia" w:ascii="仿宋_GB2312" w:hAnsi="仿宋" w:eastAsia="仿宋_GB2312" w:cs="仿宋"/>
          <w:sz w:val="32"/>
          <w:szCs w:val="32"/>
        </w:rPr>
        <w:t>促进依法行政</w:t>
      </w:r>
      <w:r>
        <w:rPr>
          <w:rFonts w:hint="eastAsia" w:ascii="仿宋_GB2312" w:hAnsi="仿宋" w:eastAsia="仿宋_GB2312" w:cs="仿宋"/>
          <w:sz w:val="32"/>
          <w:szCs w:val="32"/>
          <w:lang w:eastAsia="zh-CN"/>
        </w:rPr>
        <w:t>、依法公开，切实</w:t>
      </w:r>
      <w:r>
        <w:rPr>
          <w:rFonts w:hint="eastAsia" w:ascii="仿宋_GB2312" w:hAnsi="仿宋" w:eastAsia="仿宋_GB2312" w:cs="仿宋"/>
          <w:sz w:val="32"/>
          <w:szCs w:val="32"/>
        </w:rPr>
        <w:t>保障群众的监督权，改善党群关系、干群关系</w:t>
      </w:r>
      <w:r>
        <w:rPr>
          <w:rFonts w:hint="eastAsia" w:ascii="仿宋_GB2312" w:hAnsi="仿宋" w:eastAsia="仿宋_GB2312" w:cs="仿宋"/>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 w:eastAsia="仿宋_GB2312" w:cs="仿宋"/>
          <w:sz w:val="32"/>
          <w:szCs w:val="32"/>
          <w:lang w:val="en-US" w:eastAsia="zh-CN"/>
        </w:rPr>
      </w:pPr>
      <w:r>
        <w:rPr>
          <w:rFonts w:hint="eastAsia" w:ascii="仿宋_GB2312" w:hAnsi="仿宋" w:eastAsia="仿宋_GB2312" w:cs="仿宋"/>
          <w:b/>
          <w:sz w:val="32"/>
          <w:szCs w:val="32"/>
        </w:rPr>
        <w:t>二是</w:t>
      </w:r>
      <w:r>
        <w:rPr>
          <w:rFonts w:hint="eastAsia" w:ascii="仿宋_GB2312" w:hAnsi="仿宋" w:eastAsia="仿宋_GB2312" w:cs="仿宋"/>
          <w:sz w:val="32"/>
          <w:szCs w:val="32"/>
        </w:rPr>
        <w:t>进一步提高政务公开</w:t>
      </w:r>
      <w:r>
        <w:rPr>
          <w:rFonts w:hint="eastAsia" w:ascii="仿宋_GB2312" w:hAnsi="仿宋" w:eastAsia="仿宋_GB2312" w:cs="仿宋"/>
          <w:sz w:val="32"/>
          <w:szCs w:val="32"/>
          <w:lang w:eastAsia="zh-CN"/>
        </w:rPr>
        <w:t>工作</w:t>
      </w:r>
      <w:r>
        <w:rPr>
          <w:rFonts w:hint="eastAsia" w:ascii="仿宋_GB2312" w:hAnsi="仿宋" w:eastAsia="仿宋_GB2312" w:cs="仿宋"/>
          <w:sz w:val="32"/>
          <w:szCs w:val="32"/>
        </w:rPr>
        <w:t>的质量水平，规范和完善政务公开的内容、形式，对应公开的</w:t>
      </w:r>
      <w:r>
        <w:rPr>
          <w:rFonts w:hint="eastAsia" w:ascii="仿宋_GB2312" w:hAnsi="仿宋" w:eastAsia="仿宋_GB2312" w:cs="仿宋"/>
          <w:sz w:val="32"/>
          <w:szCs w:val="32"/>
          <w:lang w:eastAsia="zh-CN"/>
        </w:rPr>
        <w:t>信息</w:t>
      </w:r>
      <w:r>
        <w:rPr>
          <w:rFonts w:hint="eastAsia" w:ascii="仿宋_GB2312" w:hAnsi="仿宋" w:eastAsia="仿宋_GB2312" w:cs="仿宋"/>
          <w:sz w:val="32"/>
          <w:szCs w:val="32"/>
        </w:rPr>
        <w:t>及时准确公开，同时把严政务公开审核</w:t>
      </w:r>
      <w:r>
        <w:rPr>
          <w:rFonts w:hint="eastAsia" w:ascii="仿宋_GB2312" w:hAnsi="仿宋" w:eastAsia="仿宋_GB2312" w:cs="仿宋"/>
          <w:sz w:val="32"/>
          <w:szCs w:val="32"/>
          <w:lang w:eastAsia="zh-CN"/>
        </w:rPr>
        <w:t>关卡</w:t>
      </w:r>
      <w:r>
        <w:rPr>
          <w:rFonts w:hint="eastAsia" w:ascii="仿宋_GB2312" w:hAnsi="仿宋" w:eastAsia="仿宋_GB2312" w:cs="仿宋"/>
          <w:sz w:val="32"/>
          <w:szCs w:val="32"/>
        </w:rPr>
        <w:t>，切实提高</w:t>
      </w:r>
      <w:r>
        <w:rPr>
          <w:rFonts w:hint="eastAsia" w:ascii="仿宋_GB2312" w:hAnsi="仿宋" w:eastAsia="仿宋_GB2312" w:cs="仿宋"/>
          <w:sz w:val="32"/>
          <w:szCs w:val="32"/>
          <w:lang w:eastAsia="zh-CN"/>
        </w:rPr>
        <w:t>公开内容</w:t>
      </w:r>
      <w:r>
        <w:rPr>
          <w:rFonts w:hint="eastAsia" w:ascii="仿宋_GB2312" w:hAnsi="仿宋" w:eastAsia="仿宋_GB2312" w:cs="仿宋"/>
          <w:sz w:val="32"/>
          <w:szCs w:val="32"/>
        </w:rPr>
        <w:t>的正确性和针对性。</w:t>
      </w:r>
      <w:r>
        <w:rPr>
          <w:rFonts w:hint="eastAsia" w:ascii="仿宋_GB2312" w:hAnsi="仿宋" w:eastAsia="仿宋_GB2312" w:cs="仿宋"/>
          <w:sz w:val="32"/>
          <w:szCs w:val="32"/>
          <w:lang w:val="en-US" w:eastAsia="zh-CN"/>
        </w:rPr>
        <w:t xml:space="preserve">                                     </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 w:eastAsia="仿宋_GB2312" w:cs="仿宋"/>
          <w:sz w:val="32"/>
          <w:szCs w:val="32"/>
        </w:rPr>
      </w:pPr>
      <w:r>
        <w:rPr>
          <w:rFonts w:hint="eastAsia" w:ascii="仿宋_GB2312" w:hAnsi="仿宋" w:eastAsia="仿宋_GB2312" w:cs="仿宋"/>
          <w:b/>
          <w:sz w:val="32"/>
          <w:szCs w:val="32"/>
        </w:rPr>
        <w:t>三是</w:t>
      </w:r>
      <w:r>
        <w:rPr>
          <w:rFonts w:hint="eastAsia" w:ascii="仿宋_GB2312" w:hAnsi="仿宋" w:eastAsia="仿宋_GB2312" w:cs="仿宋"/>
          <w:sz w:val="32"/>
          <w:szCs w:val="32"/>
        </w:rPr>
        <w:t>进一步提高政务公开工作人员的能力，</w:t>
      </w:r>
      <w:r>
        <w:rPr>
          <w:rFonts w:hint="eastAsia" w:ascii="仿宋_GB2312" w:hAnsi="仿宋" w:eastAsia="仿宋_GB2312" w:cs="仿宋"/>
          <w:sz w:val="32"/>
          <w:szCs w:val="32"/>
          <w:lang w:eastAsia="zh-CN"/>
        </w:rPr>
        <w:t>经常性组织</w:t>
      </w:r>
      <w:r>
        <w:rPr>
          <w:rFonts w:hint="eastAsia" w:ascii="仿宋_GB2312" w:hAnsi="仿宋" w:eastAsia="仿宋_GB2312" w:cs="仿宋"/>
          <w:sz w:val="32"/>
          <w:szCs w:val="32"/>
        </w:rPr>
        <w:t>相关人员</w:t>
      </w:r>
      <w:r>
        <w:rPr>
          <w:rFonts w:hint="eastAsia" w:ascii="仿宋_GB2312" w:hAnsi="仿宋" w:eastAsia="仿宋_GB2312" w:cs="仿宋"/>
          <w:sz w:val="32"/>
          <w:szCs w:val="32"/>
          <w:lang w:eastAsia="zh-CN"/>
        </w:rPr>
        <w:t>开展</w:t>
      </w:r>
      <w:r>
        <w:rPr>
          <w:rFonts w:hint="eastAsia" w:ascii="仿宋_GB2312" w:hAnsi="仿宋" w:eastAsia="仿宋_GB2312" w:cs="仿宋"/>
          <w:sz w:val="32"/>
          <w:szCs w:val="32"/>
        </w:rPr>
        <w:t>培训、学习政务公开相关政策法规等形式，</w:t>
      </w:r>
      <w:r>
        <w:rPr>
          <w:rFonts w:hint="eastAsia" w:ascii="仿宋_GB2312" w:hAnsi="仿宋" w:eastAsia="仿宋_GB2312" w:cs="仿宋"/>
          <w:sz w:val="32"/>
          <w:szCs w:val="32"/>
          <w:lang w:eastAsia="zh-CN"/>
        </w:rPr>
        <w:t>切实</w:t>
      </w:r>
      <w:r>
        <w:rPr>
          <w:rFonts w:hint="eastAsia" w:ascii="仿宋_GB2312" w:hAnsi="仿宋" w:eastAsia="仿宋_GB2312" w:cs="仿宋"/>
          <w:sz w:val="32"/>
          <w:szCs w:val="32"/>
        </w:rPr>
        <w:t>提高政务公开工作人员的业务水平。特别是对审批事项的相关信息公开，</w:t>
      </w:r>
      <w:r>
        <w:rPr>
          <w:rFonts w:hint="eastAsia" w:ascii="仿宋_GB2312" w:hAnsi="仿宋" w:eastAsia="仿宋_GB2312" w:cs="仿宋"/>
          <w:sz w:val="32"/>
          <w:szCs w:val="32"/>
          <w:lang w:eastAsia="zh-CN"/>
        </w:rPr>
        <w:t>相关窗口工作人员要做到及时有效，</w:t>
      </w:r>
      <w:r>
        <w:rPr>
          <w:rFonts w:hint="eastAsia" w:ascii="仿宋_GB2312" w:hAnsi="仿宋" w:eastAsia="仿宋_GB2312" w:cs="仿宋"/>
          <w:sz w:val="32"/>
          <w:szCs w:val="32"/>
        </w:rPr>
        <w:t>方便企业和群众办事，推进“最多跑一次”改革。</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 w:eastAsia="仿宋_GB2312" w:cs="仿宋"/>
          <w:sz w:val="32"/>
          <w:szCs w:val="32"/>
        </w:rPr>
      </w:pPr>
      <w:r>
        <w:rPr>
          <w:rFonts w:hint="eastAsia" w:ascii="仿宋_GB2312" w:hAnsi="仿宋" w:eastAsia="仿宋_GB2312" w:cs="仿宋"/>
          <w:b/>
          <w:bCs/>
          <w:sz w:val="32"/>
          <w:szCs w:val="32"/>
          <w:lang w:eastAsia="zh-CN"/>
        </w:rPr>
        <w:t>四是</w:t>
      </w:r>
      <w:r>
        <w:rPr>
          <w:rFonts w:hint="eastAsia" w:ascii="仿宋_GB2312" w:hAnsi="仿宋" w:eastAsia="仿宋_GB2312" w:cs="仿宋"/>
          <w:sz w:val="32"/>
          <w:szCs w:val="32"/>
          <w:lang w:eastAsia="zh-CN"/>
        </w:rPr>
        <w:t>进一步发挥</w:t>
      </w:r>
      <w:r>
        <w:rPr>
          <w:rFonts w:hint="eastAsia" w:ascii="仿宋_GB2312" w:hAnsi="仿宋" w:eastAsia="仿宋_GB2312" w:cs="仿宋"/>
          <w:sz w:val="32"/>
          <w:szCs w:val="32"/>
        </w:rPr>
        <w:t>政务公开</w:t>
      </w:r>
      <w:r>
        <w:rPr>
          <w:rFonts w:hint="eastAsia" w:ascii="仿宋_GB2312" w:hAnsi="仿宋" w:eastAsia="仿宋_GB2312" w:cs="仿宋"/>
          <w:sz w:val="32"/>
          <w:szCs w:val="32"/>
          <w:lang w:eastAsia="zh-CN"/>
        </w:rPr>
        <w:t>的效用利好</w:t>
      </w:r>
      <w:r>
        <w:rPr>
          <w:rFonts w:hint="eastAsia" w:ascii="仿宋_GB2312" w:hAnsi="仿宋" w:eastAsia="仿宋_GB2312" w:cs="仿宋"/>
          <w:sz w:val="32"/>
          <w:szCs w:val="32"/>
        </w:rPr>
        <w:t>，充分发扬民主，让群众能及时了解</w:t>
      </w:r>
      <w:r>
        <w:rPr>
          <w:rFonts w:hint="eastAsia" w:ascii="仿宋_GB2312" w:hAnsi="仿宋" w:eastAsia="仿宋_GB2312" w:cs="仿宋"/>
          <w:sz w:val="32"/>
          <w:szCs w:val="32"/>
          <w:lang w:eastAsia="zh-CN"/>
        </w:rPr>
        <w:t>街道</w:t>
      </w:r>
      <w:r>
        <w:rPr>
          <w:rFonts w:hint="eastAsia" w:ascii="仿宋_GB2312" w:hAnsi="仿宋" w:eastAsia="仿宋_GB2312" w:cs="仿宋"/>
          <w:sz w:val="32"/>
          <w:szCs w:val="32"/>
        </w:rPr>
        <w:t>的各项政务活动，从而提高辖区群众参与如全国文明城市创建、垃圾分类等各项工作的积极性。增强政府工作的</w:t>
      </w:r>
      <w:r>
        <w:rPr>
          <w:rFonts w:hint="eastAsia" w:ascii="仿宋_GB2312" w:hAnsi="仿宋" w:eastAsia="仿宋_GB2312" w:cs="仿宋"/>
          <w:sz w:val="32"/>
          <w:szCs w:val="32"/>
          <w:lang w:eastAsia="zh-CN"/>
        </w:rPr>
        <w:t>群众参与度</w:t>
      </w:r>
      <w:r>
        <w:rPr>
          <w:rFonts w:hint="eastAsia" w:ascii="仿宋_GB2312" w:hAnsi="仿宋" w:eastAsia="仿宋_GB2312" w:cs="仿宋"/>
          <w:sz w:val="32"/>
          <w:szCs w:val="32"/>
        </w:rPr>
        <w:t>，</w:t>
      </w:r>
      <w:r>
        <w:rPr>
          <w:rFonts w:hint="eastAsia" w:ascii="仿宋_GB2312" w:hAnsi="仿宋" w:eastAsia="仿宋_GB2312" w:cs="仿宋"/>
          <w:sz w:val="32"/>
          <w:szCs w:val="32"/>
          <w:lang w:eastAsia="zh-CN"/>
        </w:rPr>
        <w:t>全面</w:t>
      </w:r>
      <w:r>
        <w:rPr>
          <w:rFonts w:hint="eastAsia" w:ascii="仿宋_GB2312" w:hAnsi="仿宋" w:eastAsia="仿宋_GB2312" w:cs="仿宋"/>
          <w:sz w:val="32"/>
          <w:szCs w:val="32"/>
        </w:rPr>
        <w:t>提高工作效率。</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eastAsia="zh-CN"/>
        </w:rPr>
      </w:pPr>
    </w:p>
    <w:sectPr>
      <w:pgSz w:w="11906" w:h="16838"/>
      <w:pgMar w:top="1440" w:right="1610" w:bottom="1440" w:left="161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FC3171"/>
    <w:multiLevelType w:val="singleLevel"/>
    <w:tmpl w:val="92FC3171"/>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1B495C"/>
    <w:rsid w:val="027E0048"/>
    <w:rsid w:val="036E2120"/>
    <w:rsid w:val="049E5925"/>
    <w:rsid w:val="07BD0779"/>
    <w:rsid w:val="09DB670C"/>
    <w:rsid w:val="0B3E1AF5"/>
    <w:rsid w:val="0EE20DCB"/>
    <w:rsid w:val="10947F17"/>
    <w:rsid w:val="11411D7A"/>
    <w:rsid w:val="118217E9"/>
    <w:rsid w:val="12B8681A"/>
    <w:rsid w:val="12C15B0F"/>
    <w:rsid w:val="139052A5"/>
    <w:rsid w:val="15862020"/>
    <w:rsid w:val="16191657"/>
    <w:rsid w:val="1C1D24FC"/>
    <w:rsid w:val="1F0D7A25"/>
    <w:rsid w:val="20773AB1"/>
    <w:rsid w:val="20DB0458"/>
    <w:rsid w:val="24A80330"/>
    <w:rsid w:val="259D1F0B"/>
    <w:rsid w:val="28397862"/>
    <w:rsid w:val="29792A15"/>
    <w:rsid w:val="2A0D2436"/>
    <w:rsid w:val="2A566EA6"/>
    <w:rsid w:val="2C545E52"/>
    <w:rsid w:val="2D6B73EA"/>
    <w:rsid w:val="2F3B3CD2"/>
    <w:rsid w:val="2F65522C"/>
    <w:rsid w:val="32761D96"/>
    <w:rsid w:val="371B5A50"/>
    <w:rsid w:val="39AC7F42"/>
    <w:rsid w:val="39C47AAD"/>
    <w:rsid w:val="3B1F4708"/>
    <w:rsid w:val="3B63103C"/>
    <w:rsid w:val="3F987BC5"/>
    <w:rsid w:val="43245874"/>
    <w:rsid w:val="435D4BEA"/>
    <w:rsid w:val="452F5D09"/>
    <w:rsid w:val="456B2755"/>
    <w:rsid w:val="47A234DF"/>
    <w:rsid w:val="483D0A6A"/>
    <w:rsid w:val="4D367E27"/>
    <w:rsid w:val="502E7DE5"/>
    <w:rsid w:val="51E337A9"/>
    <w:rsid w:val="535751F1"/>
    <w:rsid w:val="538514FC"/>
    <w:rsid w:val="53B0660E"/>
    <w:rsid w:val="53DF5720"/>
    <w:rsid w:val="59E43215"/>
    <w:rsid w:val="5E3F77B3"/>
    <w:rsid w:val="5F8A787F"/>
    <w:rsid w:val="61DE7843"/>
    <w:rsid w:val="653C7167"/>
    <w:rsid w:val="69E766A6"/>
    <w:rsid w:val="6B2572D4"/>
    <w:rsid w:val="6BF6083E"/>
    <w:rsid w:val="6D68443E"/>
    <w:rsid w:val="6E201B11"/>
    <w:rsid w:val="6E967DB6"/>
    <w:rsid w:val="6FE82E4F"/>
    <w:rsid w:val="703D5881"/>
    <w:rsid w:val="722F2A2D"/>
    <w:rsid w:val="72606830"/>
    <w:rsid w:val="72AA3CC9"/>
    <w:rsid w:val="72E64160"/>
    <w:rsid w:val="73187FEB"/>
    <w:rsid w:val="736F0853"/>
    <w:rsid w:val="762F3D65"/>
    <w:rsid w:val="76473292"/>
    <w:rsid w:val="77163484"/>
    <w:rsid w:val="78FB3DA7"/>
    <w:rsid w:val="796F2C32"/>
    <w:rsid w:val="7B524FBF"/>
    <w:rsid w:val="7D533621"/>
    <w:rsid w:val="7F0424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3">
    <w:name w:val="Normal (Web)"/>
    <w:basedOn w:val="1"/>
    <w:unhideWhenUsed/>
    <w:qFormat/>
    <w:uiPriority w:val="99"/>
    <w:pPr>
      <w:spacing w:before="100" w:beforeAutospacing="1" w:after="100" w:afterAutospacing="1"/>
    </w:pPr>
  </w:style>
  <w:style w:type="character" w:styleId="6">
    <w:name w:val="Strong"/>
    <w:basedOn w:val="5"/>
    <w:qFormat/>
    <w:uiPriority w:val="22"/>
    <w:rPr>
      <w:b/>
      <w:bCs/>
    </w:rPr>
  </w:style>
  <w:style w:type="character" w:styleId="7">
    <w:name w:val="Hyperlink"/>
    <w:basedOn w:val="5"/>
    <w:unhideWhenUsed/>
    <w:qFormat/>
    <w:uiPriority w:val="99"/>
    <w:rPr>
      <w:rFonts w:hint="eastAsia" w:ascii="宋体" w:hAnsi="宋体" w:eastAsia="宋体"/>
      <w:color w:val="000000"/>
      <w:u w:val="single"/>
    </w:rPr>
  </w:style>
  <w:style w:type="character" w:customStyle="1" w:styleId="8">
    <w:name w:val="font11"/>
    <w:basedOn w:val="5"/>
    <w:qFormat/>
    <w:uiPriority w:val="0"/>
    <w:rPr>
      <w:rFonts w:hint="eastAsia" w:ascii="宋体" w:hAnsi="宋体" w:eastAsia="宋体" w:cs="宋体"/>
      <w:color w:val="000000"/>
      <w:sz w:val="28"/>
      <w:szCs w:val="28"/>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2021-01-04T08:07:00Z</dcterms:created>
  <dc:creator>Administrator.Micro-2020VGYXO</dc:creator>
  <cp:lastModifiedBy>星辰大海</cp:lastModifiedBy>
  <dcterms:modified xsi:type="dcterms:W3CDTF">2021-01-26T03:18:51Z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