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44"/>
          <w:szCs w:val="44"/>
        </w:rPr>
        <w:t>年嵊州市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经济</w:t>
      </w:r>
      <w:r>
        <w:rPr>
          <w:rFonts w:hint="eastAsia" w:ascii="华文中宋" w:hAnsi="华文中宋" w:eastAsia="华文中宋"/>
          <w:b/>
          <w:sz w:val="44"/>
          <w:szCs w:val="44"/>
        </w:rPr>
        <w:t>和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信息化</w:t>
      </w:r>
      <w:r>
        <w:rPr>
          <w:rFonts w:hint="eastAsia" w:ascii="华文中宋" w:hAnsi="华文中宋" w:eastAsia="华文中宋"/>
          <w:b/>
          <w:sz w:val="44"/>
          <w:szCs w:val="44"/>
        </w:rPr>
        <w:t>局</w:t>
      </w:r>
    </w:p>
    <w:p>
      <w:pPr>
        <w:snapToGrid w:val="0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政府信息公开年报</w:t>
      </w:r>
    </w:p>
    <w:p>
      <w:pPr>
        <w:snapToGrid w:val="0"/>
        <w:spacing w:line="360" w:lineRule="auto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年嵊州市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经信</w:t>
      </w:r>
      <w:r>
        <w:rPr>
          <w:rFonts w:hint="eastAsia" w:ascii="仿宋_GB2312" w:eastAsia="仿宋_GB2312"/>
          <w:iCs/>
          <w:color w:val="000000"/>
          <w:sz w:val="32"/>
          <w:szCs w:val="32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的政府信息公开工作，按照《中华人民共和国政府信息公开条例》的要求，开展政府信息公开工作。为此，专门配备了1名兼职工作人员，设立了1个专门的信息申请受理点，并开辟了</w:t>
      </w:r>
      <w:r>
        <w:rPr>
          <w:rFonts w:hint="eastAsia" w:ascii="仿宋_GB2312" w:eastAsia="仿宋_GB2312"/>
          <w:iCs/>
          <w:color w:val="000000"/>
          <w:sz w:val="32"/>
          <w:szCs w:val="32"/>
        </w:rPr>
        <w:t>公共查阅点</w:t>
      </w:r>
      <w:r>
        <w:rPr>
          <w:rFonts w:hint="eastAsia" w:ascii="仿宋_GB2312" w:eastAsia="仿宋_GB2312"/>
          <w:color w:val="000000"/>
          <w:sz w:val="32"/>
          <w:szCs w:val="32"/>
        </w:rPr>
        <w:t>。截至20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年底，我局政府信息公开工作运行正常。</w:t>
      </w:r>
    </w:p>
    <w:p>
      <w:pPr>
        <w:snapToGrid w:val="0"/>
        <w:spacing w:line="560" w:lineRule="exact"/>
        <w:ind w:firstLine="627" w:firstLineChars="196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二、主动公开政府信息情况</w:t>
      </w:r>
    </w:p>
    <w:tbl>
      <w:tblPr>
        <w:tblStyle w:val="3"/>
        <w:tblW w:w="94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5"/>
        <w:gridCol w:w="2135"/>
        <w:gridCol w:w="2011"/>
        <w:gridCol w:w="22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公开数量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对外公开总数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采购总金额(单位：万元)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填报人：赵静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联系方式：83112320</w:t>
            </w:r>
          </w:p>
        </w:tc>
      </w:tr>
    </w:tbl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收到和处理政府信息公开申请情况</w:t>
      </w:r>
    </w:p>
    <w:tbl>
      <w:tblPr>
        <w:tblStyle w:val="3"/>
        <w:tblW w:w="12616" w:type="dxa"/>
        <w:tblInd w:w="-6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855"/>
        <w:gridCol w:w="1624"/>
        <w:gridCol w:w="990"/>
        <w:gridCol w:w="660"/>
        <w:gridCol w:w="650"/>
        <w:gridCol w:w="1100"/>
        <w:gridCol w:w="900"/>
        <w:gridCol w:w="690"/>
        <w:gridCol w:w="1100"/>
        <w:gridCol w:w="25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60"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申请人情况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</w:t>
            </w:r>
          </w:p>
        </w:tc>
        <w:tc>
          <w:tcPr>
            <w:tcW w:w="4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填报人：赵静</w:t>
            </w:r>
          </w:p>
        </w:tc>
        <w:tc>
          <w:tcPr>
            <w:tcW w:w="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联系方式：83112320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560" w:lineRule="exact"/>
        <w:ind w:firstLine="627" w:firstLineChars="196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27" w:firstLineChars="196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27" w:firstLineChars="196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27" w:firstLineChars="196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四、政府信息公开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行政复议、行政诉讼情况</w:t>
      </w:r>
    </w:p>
    <w:tbl>
      <w:tblPr>
        <w:tblStyle w:val="3"/>
        <w:tblW w:w="9940" w:type="dxa"/>
        <w:tblInd w:w="-77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810"/>
        <w:gridCol w:w="610"/>
        <w:gridCol w:w="460"/>
        <w:gridCol w:w="610"/>
        <w:gridCol w:w="830"/>
        <w:gridCol w:w="730"/>
        <w:gridCol w:w="760"/>
        <w:gridCol w:w="650"/>
        <w:gridCol w:w="670"/>
        <w:gridCol w:w="690"/>
        <w:gridCol w:w="720"/>
        <w:gridCol w:w="600"/>
        <w:gridCol w:w="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7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3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填报人：赵静</w:t>
            </w:r>
          </w:p>
        </w:tc>
        <w:tc>
          <w:tcPr>
            <w:tcW w:w="4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联系方式：83112320</w:t>
            </w:r>
          </w:p>
        </w:tc>
      </w:tr>
    </w:tbl>
    <w:p>
      <w:pPr>
        <w:snapToGrid w:val="0"/>
        <w:spacing w:line="560" w:lineRule="exact"/>
        <w:ind w:firstLine="627" w:firstLineChars="196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存在的主要问题及改进情况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政府信息公开是一项政治性、政策性和技术性很强的系统工程。目前存在的主要问题：工作人员相关业务知识水平有待进一步提高。改进措施：进一步加强人员相关业务知识培训。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方正黑体_GBK"/>
          <w:color w:val="000000"/>
          <w:kern w:val="0"/>
          <w:sz w:val="32"/>
          <w:szCs w:val="32"/>
        </w:rPr>
      </w:pPr>
    </w:p>
    <w:p>
      <w:pPr>
        <w:spacing w:line="580" w:lineRule="exact"/>
        <w:ind w:left="1698" w:hanging="1698" w:hangingChars="386"/>
        <w:jc w:val="center"/>
        <w:rPr>
          <w:rFonts w:hint="eastAsia" w:ascii="方正小标宋简体" w:eastAsia="方正小标宋简体"/>
          <w:kern w:val="32"/>
          <w:sz w:val="44"/>
          <w:szCs w:val="44"/>
        </w:rPr>
      </w:pPr>
    </w:p>
    <w:p>
      <w:pPr>
        <w:spacing w:line="580" w:lineRule="exact"/>
        <w:ind w:left="1698" w:hanging="1698" w:hangingChars="386"/>
        <w:jc w:val="center"/>
        <w:rPr>
          <w:rFonts w:hint="eastAsia" w:ascii="方正小标宋简体" w:eastAsia="方正小标宋简体"/>
          <w:kern w:val="32"/>
          <w:sz w:val="44"/>
          <w:szCs w:val="44"/>
        </w:rPr>
      </w:pPr>
    </w:p>
    <w:p>
      <w:pPr>
        <w:spacing w:line="580" w:lineRule="exact"/>
        <w:ind w:left="1698" w:hanging="1698" w:hangingChars="386"/>
        <w:jc w:val="center"/>
        <w:rPr>
          <w:rFonts w:hint="eastAsia" w:ascii="方正小标宋简体" w:eastAsia="方正小标宋简体"/>
          <w:kern w:val="32"/>
          <w:sz w:val="44"/>
          <w:szCs w:val="44"/>
        </w:rPr>
      </w:pPr>
    </w:p>
    <w:p>
      <w:pPr>
        <w:spacing w:line="580" w:lineRule="exact"/>
        <w:ind w:left="1698" w:hanging="1698" w:hangingChars="386"/>
        <w:jc w:val="center"/>
        <w:rPr>
          <w:rFonts w:hint="eastAsia" w:ascii="方正小标宋简体" w:eastAsia="方正小标宋简体"/>
          <w:kern w:val="32"/>
          <w:sz w:val="44"/>
          <w:szCs w:val="44"/>
        </w:rPr>
      </w:pPr>
    </w:p>
    <w:p>
      <w:pPr>
        <w:spacing w:line="580" w:lineRule="exact"/>
        <w:ind w:left="1698" w:hanging="1698" w:hangingChars="386"/>
        <w:jc w:val="center"/>
        <w:rPr>
          <w:rFonts w:hint="eastAsia" w:ascii="方正小标宋简体" w:eastAsia="方正小标宋简体"/>
          <w:kern w:val="32"/>
          <w:sz w:val="44"/>
          <w:szCs w:val="44"/>
        </w:rPr>
      </w:pPr>
    </w:p>
    <w:p>
      <w:pPr>
        <w:spacing w:line="580" w:lineRule="exact"/>
        <w:ind w:left="1698" w:hanging="1698" w:hangingChars="386"/>
        <w:jc w:val="center"/>
        <w:rPr>
          <w:rFonts w:hint="eastAsia" w:ascii="方正小标宋简体" w:eastAsia="方正小标宋简体"/>
          <w:kern w:val="32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6634"/>
    <w:multiLevelType w:val="singleLevel"/>
    <w:tmpl w:val="3EF5663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A59A7"/>
    <w:rsid w:val="13712815"/>
    <w:rsid w:val="29E80E30"/>
    <w:rsid w:val="38EF20EB"/>
    <w:rsid w:val="69D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</cp:lastModifiedBy>
  <dcterms:modified xsi:type="dcterms:W3CDTF">2021-01-04T08:21:29Z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