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A7" w:rsidRDefault="00A171A7" w:rsidP="00A171A7">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关于完善我市工业污水按有害污染物浓度</w:t>
      </w:r>
    </w:p>
    <w:p w:rsidR="00A171A7" w:rsidRDefault="00A171A7" w:rsidP="00A171A7">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多因子复合计收污水处理费的实施意见</w:t>
      </w:r>
    </w:p>
    <w:p w:rsidR="00A171A7" w:rsidRDefault="00A171A7" w:rsidP="00A171A7">
      <w:pPr>
        <w:spacing w:line="560" w:lineRule="exact"/>
        <w:ind w:firstLine="630"/>
        <w:rPr>
          <w:rFonts w:ascii="仿宋_GB2312" w:eastAsia="仿宋_GB2312" w:hAnsi="仿宋_GB2312" w:cs="仿宋_GB2312"/>
          <w:sz w:val="32"/>
          <w:szCs w:val="32"/>
        </w:rPr>
      </w:pPr>
    </w:p>
    <w:p w:rsidR="00A171A7" w:rsidRDefault="00A171A7" w:rsidP="00A171A7">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为加快推进曹娥江嵊州段污水入河问题整治，进一步优化水资源配置，提高水资源质量，引导节约用水，减少水污染，改善生态环境，促进产业转型升级和经济发展方式转变，根据《关于加快推进分类分档多因子计收工业污水处理费的指导意见》（浙价资[2015]252号）、《关于印发嵊州市要素市场化配置综合配套改革有关方案的通知》（嵊市委办发[2015]87号）</w:t>
      </w:r>
      <w:r w:rsidRPr="00E606EF">
        <w:rPr>
          <w:rFonts w:ascii="仿宋_GB2312" w:eastAsia="仿宋_GB2312" w:hAnsi="仿宋_GB2312" w:cs="仿宋_GB2312" w:hint="eastAsia"/>
          <w:sz w:val="32"/>
          <w:szCs w:val="32"/>
        </w:rPr>
        <w:t>等文件精神和省、绍兴、嵊州市要素资源差别化配套政策要求</w:t>
      </w:r>
      <w:r w:rsidRPr="00E606EF">
        <w:rPr>
          <w:rFonts w:ascii="仿宋_GB2312" w:eastAsia="仿宋_GB2312" w:hAnsi="宋体" w:cs="宋体" w:hint="eastAsia"/>
          <w:sz w:val="32"/>
          <w:szCs w:val="32"/>
        </w:rPr>
        <w:t>，</w:t>
      </w:r>
      <w:r>
        <w:rPr>
          <w:rFonts w:ascii="仿宋_GB2312" w:eastAsia="仿宋_GB2312" w:hAnsi="仿宋_GB2312" w:cs="仿宋_GB2312" w:hint="eastAsia"/>
          <w:sz w:val="32"/>
          <w:szCs w:val="32"/>
        </w:rPr>
        <w:t>进一步完善我市分类分档多因子计收工业污水处理费标准，有关内容如下：</w:t>
      </w:r>
    </w:p>
    <w:p w:rsidR="00A171A7" w:rsidRDefault="00A171A7" w:rsidP="00A171A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一、收费方式</w:t>
      </w:r>
    </w:p>
    <w:p w:rsidR="00A171A7" w:rsidRDefault="00A171A7" w:rsidP="00A171A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工业污水按有害污染物浓度多因子[即化学需氧量（COD）、酸碱度（PH值）、悬浮物（SS）、磷酸盐（以P计）、氨氮（NH3-N）等五种]复合计收污水处理费的制度，分档分类实施差别化收费标准，促进工业企业污水预处理和达标排放。</w:t>
      </w:r>
    </w:p>
    <w:p w:rsidR="00A171A7" w:rsidRDefault="00A171A7" w:rsidP="00A171A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二、收费范围</w:t>
      </w:r>
    </w:p>
    <w:p w:rsidR="00A171A7" w:rsidRDefault="00A171A7" w:rsidP="00A171A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全市范围内入网工业污水实测有害污染物多因子浓度的工业企业。</w:t>
      </w:r>
    </w:p>
    <w:p w:rsidR="00A171A7" w:rsidRDefault="00A171A7" w:rsidP="00A171A7">
      <w:pPr>
        <w:spacing w:line="560" w:lineRule="exact"/>
        <w:ind w:firstLine="630"/>
        <w:rPr>
          <w:rFonts w:ascii="黑体" w:eastAsia="黑体" w:hAnsi="黑体" w:cs="黑体"/>
          <w:sz w:val="32"/>
          <w:szCs w:val="32"/>
        </w:rPr>
      </w:pPr>
      <w:r>
        <w:rPr>
          <w:rFonts w:ascii="黑体" w:eastAsia="黑体" w:hAnsi="黑体" w:cs="黑体" w:hint="eastAsia"/>
          <w:sz w:val="32"/>
          <w:szCs w:val="32"/>
        </w:rPr>
        <w:t>三、收费标准</w:t>
      </w:r>
    </w:p>
    <w:p w:rsidR="00A171A7" w:rsidRDefault="00A171A7" w:rsidP="00A171A7">
      <w:pPr>
        <w:spacing w:line="560" w:lineRule="exact"/>
        <w:ind w:firstLine="630"/>
        <w:rPr>
          <w:rFonts w:ascii="仿宋_GB2312" w:eastAsia="仿宋_GB2312" w:hAnsi="仿宋_GB2312" w:cs="仿宋_GB2312"/>
          <w:spacing w:val="-17"/>
          <w:sz w:val="32"/>
          <w:szCs w:val="32"/>
        </w:rPr>
      </w:pPr>
      <w:r>
        <w:rPr>
          <w:rFonts w:ascii="仿宋_GB2312" w:eastAsia="仿宋_GB2312" w:hAnsi="仿宋_GB2312" w:cs="仿宋_GB2312" w:hint="eastAsia"/>
          <w:sz w:val="32"/>
          <w:szCs w:val="32"/>
        </w:rPr>
        <w:t>工业污水按实测有害污染物浓度多因子[化学需氧量（COD）、</w:t>
      </w:r>
      <w:r>
        <w:rPr>
          <w:rFonts w:ascii="仿宋_GB2312" w:eastAsia="仿宋_GB2312" w:hAnsi="仿宋_GB2312" w:cs="仿宋_GB2312" w:hint="eastAsia"/>
          <w:spacing w:val="-17"/>
          <w:sz w:val="32"/>
          <w:szCs w:val="32"/>
        </w:rPr>
        <w:t>酸碱度（PH值）、悬浮物（SS）、磷酸盐（以P计）、氨氮</w:t>
      </w:r>
      <w:r>
        <w:rPr>
          <w:rFonts w:ascii="仿宋_GB2312" w:eastAsia="仿宋_GB2312" w:hAnsi="仿宋_GB2312" w:cs="仿宋_GB2312" w:hint="eastAsia"/>
          <w:spacing w:val="-17"/>
          <w:sz w:val="32"/>
          <w:szCs w:val="32"/>
        </w:rPr>
        <w:lastRenderedPageBreak/>
        <w:t>（NH3-N）]5种复合计收污水处理费，具体为：</w:t>
      </w:r>
    </w:p>
    <w:p w:rsidR="00A171A7" w:rsidRDefault="00A171A7" w:rsidP="00A171A7">
      <w:pPr>
        <w:pStyle w:val="1"/>
        <w:spacing w:line="560" w:lineRule="exact"/>
        <w:ind w:firstLineChars="200" w:firstLine="572"/>
        <w:jc w:val="both"/>
        <w:rPr>
          <w:spacing w:val="-17"/>
        </w:rPr>
      </w:pPr>
      <w:r>
        <w:rPr>
          <w:rFonts w:ascii="仿宋_GB2312" w:eastAsia="仿宋_GB2312" w:hAnsi="仿宋_GB2312" w:cs="仿宋_GB2312" w:hint="eastAsia"/>
          <w:spacing w:val="-17"/>
        </w:rPr>
        <w:t>（一）入网工业污水按化学需氧量（COD）浓度分档计价标准</w:t>
      </w:r>
    </w:p>
    <w:tbl>
      <w:tblPr>
        <w:tblW w:w="918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300"/>
        <w:gridCol w:w="2250"/>
        <w:gridCol w:w="2475"/>
      </w:tblGrid>
      <w:tr w:rsidR="00A171A7" w:rsidTr="00725CFA">
        <w:trPr>
          <w:trHeight w:val="1070"/>
        </w:trPr>
        <w:tc>
          <w:tcPr>
            <w:tcW w:w="2160" w:type="dxa"/>
            <w:tcBorders>
              <w:tl2br w:val="single" w:sz="4" w:space="0" w:color="auto"/>
            </w:tcBorders>
            <w:noWrap/>
          </w:tcPr>
          <w:p w:rsidR="00A171A7" w:rsidRPr="00E606EF" w:rsidRDefault="00A171A7" w:rsidP="00725CFA">
            <w:pPr>
              <w:spacing w:line="400" w:lineRule="exact"/>
              <w:ind w:right="210"/>
              <w:jc w:val="right"/>
              <w:rPr>
                <w:rFonts w:ascii="仿宋_GB2312" w:eastAsia="仿宋_GB2312" w:hAnsi="仿宋_GB2312" w:cs="仿宋_GB2312"/>
                <w:sz w:val="24"/>
              </w:rPr>
            </w:pPr>
            <w:r w:rsidRPr="00E606EF">
              <w:rPr>
                <w:rFonts w:ascii="仿宋_GB2312" w:eastAsia="仿宋_GB2312" w:hAnsi="仿宋_GB2312" w:cs="仿宋_GB2312" w:hint="eastAsia"/>
                <w:sz w:val="24"/>
              </w:rPr>
              <w:t>收费标准</w:t>
            </w:r>
          </w:p>
          <w:p w:rsidR="00A171A7" w:rsidRPr="00E606EF" w:rsidRDefault="00A171A7" w:rsidP="00725CFA">
            <w:pPr>
              <w:spacing w:line="400" w:lineRule="exact"/>
              <w:ind w:right="641"/>
              <w:rPr>
                <w:rFonts w:ascii="仿宋_GB2312" w:eastAsia="仿宋_GB2312" w:hAnsi="仿宋_GB2312" w:cs="仿宋_GB2312"/>
                <w:sz w:val="24"/>
              </w:rPr>
            </w:pPr>
            <w:r w:rsidRPr="00E606EF">
              <w:rPr>
                <w:rFonts w:ascii="仿宋_GB2312" w:eastAsia="仿宋_GB2312" w:hAnsi="仿宋_GB2312" w:cs="仿宋_GB2312" w:hint="eastAsia"/>
                <w:sz w:val="24"/>
              </w:rPr>
              <w:t>污水COD</w:t>
            </w:r>
          </w:p>
          <w:p w:rsidR="00A171A7" w:rsidRPr="00E606EF" w:rsidRDefault="00A171A7" w:rsidP="00725CFA">
            <w:pPr>
              <w:spacing w:line="400" w:lineRule="exact"/>
              <w:ind w:right="641"/>
              <w:rPr>
                <w:rFonts w:ascii="仿宋_GB2312" w:eastAsia="仿宋_GB2312" w:hAnsi="仿宋_GB2312" w:cs="仿宋_GB2312"/>
                <w:sz w:val="28"/>
                <w:szCs w:val="28"/>
              </w:rPr>
            </w:pPr>
            <w:r w:rsidRPr="00E606EF">
              <w:rPr>
                <w:rFonts w:ascii="仿宋_GB2312" w:eastAsia="仿宋_GB2312" w:hAnsi="仿宋_GB2312" w:cs="仿宋_GB2312" w:hint="eastAsia"/>
                <w:sz w:val="24"/>
              </w:rPr>
              <w:t>值（mg/L）</w:t>
            </w:r>
          </w:p>
        </w:tc>
        <w:tc>
          <w:tcPr>
            <w:tcW w:w="2295" w:type="dxa"/>
            <w:noWrap/>
            <w:vAlign w:val="center"/>
          </w:tcPr>
          <w:p w:rsidR="00A171A7" w:rsidRPr="00E606EF" w:rsidRDefault="00A171A7" w:rsidP="00725CFA">
            <w:pPr>
              <w:pStyle w:val="1"/>
              <w:spacing w:line="440" w:lineRule="exact"/>
              <w:rPr>
                <w:rFonts w:ascii="仿宋_GB2312" w:eastAsia="仿宋_GB2312" w:hAnsi="仿宋_GB2312" w:cs="仿宋_GB2312"/>
                <w:sz w:val="24"/>
                <w:szCs w:val="24"/>
              </w:rPr>
            </w:pPr>
            <w:r w:rsidRPr="00E606EF">
              <w:rPr>
                <w:rFonts w:ascii="仿宋_GB2312" w:eastAsia="仿宋_GB2312" w:hAnsi="仿宋_GB2312" w:cs="仿宋_GB2312" w:hint="eastAsia"/>
                <w:sz w:val="24"/>
                <w:szCs w:val="24"/>
              </w:rPr>
              <w:t>A</w:t>
            </w:r>
            <w:r w:rsidR="00543CF4" w:rsidRPr="00E606EF">
              <w:rPr>
                <w:rFonts w:ascii="仿宋_GB2312" w:eastAsia="仿宋_GB2312" w:hAnsi="仿宋_GB2312" w:cs="仿宋_GB2312" w:hint="eastAsia"/>
                <w:sz w:val="24"/>
                <w:szCs w:val="24"/>
              </w:rPr>
              <w:t>/B</w:t>
            </w:r>
            <w:r w:rsidRPr="00E606EF">
              <w:rPr>
                <w:rFonts w:ascii="仿宋_GB2312" w:eastAsia="仿宋_GB2312" w:hAnsi="仿宋_GB2312" w:cs="仿宋_GB2312" w:hint="eastAsia"/>
                <w:sz w:val="24"/>
                <w:szCs w:val="24"/>
              </w:rPr>
              <w:t>类（元/立方米）</w:t>
            </w:r>
          </w:p>
        </w:tc>
        <w:tc>
          <w:tcPr>
            <w:tcW w:w="2250" w:type="dxa"/>
            <w:noWrap/>
            <w:vAlign w:val="center"/>
          </w:tcPr>
          <w:p w:rsidR="00A171A7" w:rsidRPr="00E606EF" w:rsidRDefault="00543CF4" w:rsidP="00725CFA">
            <w:pPr>
              <w:pStyle w:val="1"/>
              <w:spacing w:line="440" w:lineRule="exact"/>
              <w:rPr>
                <w:rFonts w:ascii="仿宋_GB2312" w:eastAsia="仿宋_GB2312" w:hAnsi="仿宋_GB2312" w:cs="仿宋_GB2312"/>
                <w:sz w:val="24"/>
                <w:szCs w:val="24"/>
              </w:rPr>
            </w:pPr>
            <w:r w:rsidRPr="00E606EF">
              <w:rPr>
                <w:rFonts w:ascii="仿宋_GB2312" w:eastAsia="仿宋_GB2312" w:hAnsi="仿宋_GB2312" w:cs="仿宋_GB2312" w:hint="eastAsia"/>
                <w:sz w:val="24"/>
                <w:szCs w:val="24"/>
              </w:rPr>
              <w:t>C</w:t>
            </w:r>
            <w:r w:rsidR="00A171A7" w:rsidRPr="00E606EF">
              <w:rPr>
                <w:rFonts w:ascii="仿宋_GB2312" w:eastAsia="仿宋_GB2312" w:hAnsi="仿宋_GB2312" w:cs="仿宋_GB2312" w:hint="eastAsia"/>
                <w:sz w:val="24"/>
                <w:szCs w:val="24"/>
              </w:rPr>
              <w:t>类（元/立方米）</w:t>
            </w:r>
          </w:p>
        </w:tc>
        <w:tc>
          <w:tcPr>
            <w:tcW w:w="2475" w:type="dxa"/>
            <w:noWrap/>
            <w:vAlign w:val="center"/>
          </w:tcPr>
          <w:p w:rsidR="00A171A7" w:rsidRPr="00543CF4" w:rsidRDefault="00543CF4" w:rsidP="00725CFA">
            <w:pPr>
              <w:pStyle w:val="1"/>
              <w:spacing w:line="440" w:lineRule="exact"/>
              <w:rPr>
                <w:rFonts w:ascii="仿宋_GB2312" w:eastAsia="仿宋_GB2312" w:hAnsi="仿宋_GB2312" w:cs="仿宋_GB2312"/>
                <w:sz w:val="24"/>
                <w:szCs w:val="24"/>
              </w:rPr>
            </w:pPr>
            <w:r w:rsidRPr="00543CF4">
              <w:rPr>
                <w:rFonts w:ascii="仿宋_GB2312" w:eastAsia="仿宋_GB2312" w:hAnsi="仿宋_GB2312" w:cs="仿宋_GB2312" w:hint="eastAsia"/>
                <w:sz w:val="24"/>
                <w:szCs w:val="24"/>
              </w:rPr>
              <w:t>D</w:t>
            </w:r>
            <w:r w:rsidR="00A171A7" w:rsidRPr="00543CF4">
              <w:rPr>
                <w:rFonts w:ascii="仿宋_GB2312" w:eastAsia="仿宋_GB2312" w:hAnsi="仿宋_GB2312" w:cs="仿宋_GB2312" w:hint="eastAsia"/>
                <w:sz w:val="24"/>
                <w:szCs w:val="24"/>
              </w:rPr>
              <w:t>类（元/立方米）</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COD≤200</w:t>
            </w:r>
          </w:p>
        </w:tc>
        <w:tc>
          <w:tcPr>
            <w:tcW w:w="230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1.80</w:t>
            </w:r>
          </w:p>
        </w:tc>
        <w:tc>
          <w:tcPr>
            <w:tcW w:w="2246"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2.60</w:t>
            </w:r>
          </w:p>
        </w:tc>
        <w:tc>
          <w:tcPr>
            <w:tcW w:w="2474"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2.90</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200＜COD≤300</w:t>
            </w:r>
          </w:p>
        </w:tc>
        <w:tc>
          <w:tcPr>
            <w:tcW w:w="229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1.95</w:t>
            </w:r>
          </w:p>
        </w:tc>
        <w:tc>
          <w:tcPr>
            <w:tcW w:w="225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2.75</w:t>
            </w:r>
          </w:p>
        </w:tc>
        <w:tc>
          <w:tcPr>
            <w:tcW w:w="247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3.05</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300＜COD≤400</w:t>
            </w:r>
          </w:p>
        </w:tc>
        <w:tc>
          <w:tcPr>
            <w:tcW w:w="229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2.10</w:t>
            </w:r>
          </w:p>
        </w:tc>
        <w:tc>
          <w:tcPr>
            <w:tcW w:w="225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2.90</w:t>
            </w:r>
          </w:p>
        </w:tc>
        <w:tc>
          <w:tcPr>
            <w:tcW w:w="247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3.20</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400＜COD≤500</w:t>
            </w:r>
          </w:p>
        </w:tc>
        <w:tc>
          <w:tcPr>
            <w:tcW w:w="229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2.25</w:t>
            </w:r>
          </w:p>
        </w:tc>
        <w:tc>
          <w:tcPr>
            <w:tcW w:w="225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3.05</w:t>
            </w:r>
          </w:p>
        </w:tc>
        <w:tc>
          <w:tcPr>
            <w:tcW w:w="247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3.35</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500＜COD≤600</w:t>
            </w:r>
          </w:p>
        </w:tc>
        <w:tc>
          <w:tcPr>
            <w:tcW w:w="229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2.45</w:t>
            </w:r>
          </w:p>
        </w:tc>
        <w:tc>
          <w:tcPr>
            <w:tcW w:w="225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3.30</w:t>
            </w:r>
          </w:p>
        </w:tc>
        <w:tc>
          <w:tcPr>
            <w:tcW w:w="247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3.70</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600＜COD≤700</w:t>
            </w:r>
          </w:p>
        </w:tc>
        <w:tc>
          <w:tcPr>
            <w:tcW w:w="229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2.70</w:t>
            </w:r>
          </w:p>
        </w:tc>
        <w:tc>
          <w:tcPr>
            <w:tcW w:w="225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3.70</w:t>
            </w:r>
          </w:p>
        </w:tc>
        <w:tc>
          <w:tcPr>
            <w:tcW w:w="247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4.10</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700＜COD≤800</w:t>
            </w:r>
          </w:p>
        </w:tc>
        <w:tc>
          <w:tcPr>
            <w:tcW w:w="229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2.90</w:t>
            </w:r>
          </w:p>
        </w:tc>
        <w:tc>
          <w:tcPr>
            <w:tcW w:w="2250"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4.10</w:t>
            </w:r>
          </w:p>
        </w:tc>
        <w:tc>
          <w:tcPr>
            <w:tcW w:w="2475" w:type="dxa"/>
            <w:noWrap/>
          </w:tcPr>
          <w:p w:rsidR="00A171A7" w:rsidRDefault="00A171A7" w:rsidP="00725CFA">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4.50</w:t>
            </w:r>
          </w:p>
        </w:tc>
      </w:tr>
      <w:tr w:rsidR="00A171A7" w:rsidTr="00725CFA">
        <w:tc>
          <w:tcPr>
            <w:tcW w:w="2160" w:type="dxa"/>
            <w:noWrap/>
          </w:tcPr>
          <w:p w:rsidR="00A171A7" w:rsidRDefault="00A171A7" w:rsidP="00725CF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COD＞800时</w:t>
            </w:r>
          </w:p>
        </w:tc>
        <w:tc>
          <w:tcPr>
            <w:tcW w:w="2295" w:type="dxa"/>
            <w:noWrap/>
            <w:vAlign w:val="center"/>
          </w:tcPr>
          <w:p w:rsidR="00A171A7" w:rsidRDefault="00A171A7" w:rsidP="00725CF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每档比上一档提高0.30</w:t>
            </w:r>
          </w:p>
        </w:tc>
        <w:tc>
          <w:tcPr>
            <w:tcW w:w="2250" w:type="dxa"/>
            <w:noWrap/>
            <w:vAlign w:val="center"/>
          </w:tcPr>
          <w:p w:rsidR="00A171A7" w:rsidRDefault="00A171A7" w:rsidP="00725CF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每档比上一档提高0.50</w:t>
            </w:r>
          </w:p>
        </w:tc>
        <w:tc>
          <w:tcPr>
            <w:tcW w:w="2475" w:type="dxa"/>
            <w:noWrap/>
            <w:vAlign w:val="center"/>
          </w:tcPr>
          <w:p w:rsidR="00A171A7" w:rsidRDefault="00A171A7" w:rsidP="00725CF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每档比上一档提高0.80</w:t>
            </w:r>
          </w:p>
        </w:tc>
      </w:tr>
    </w:tbl>
    <w:p w:rsidR="00A171A7" w:rsidRDefault="00A171A7" w:rsidP="00A171A7">
      <w:pPr>
        <w:spacing w:line="560" w:lineRule="exact"/>
        <w:ind w:firstLineChars="200" w:firstLine="640"/>
        <w:jc w:val="left"/>
        <w:rPr>
          <w:rFonts w:ascii="仿宋_GB2312" w:eastAsia="仿宋_GB2312" w:hAnsi="仿宋_GB2312" w:cs="仿宋_GB2312"/>
          <w:spacing w:val="-17"/>
          <w:sz w:val="32"/>
          <w:szCs w:val="32"/>
        </w:rPr>
      </w:pPr>
      <w:r>
        <w:rPr>
          <w:rFonts w:ascii="仿宋_GB2312" w:eastAsia="仿宋_GB2312" w:hAnsi="仿宋_GB2312" w:cs="仿宋_GB2312" w:hint="eastAsia"/>
          <w:sz w:val="32"/>
          <w:szCs w:val="32"/>
        </w:rPr>
        <w:t>注：COD值以100mg/L为一档。实测污水COD值按收费</w:t>
      </w:r>
      <w:r>
        <w:rPr>
          <w:rFonts w:ascii="仿宋_GB2312" w:eastAsia="仿宋_GB2312" w:hAnsi="仿宋_GB2312" w:cs="仿宋_GB2312" w:hint="eastAsia"/>
          <w:spacing w:val="-17"/>
          <w:sz w:val="32"/>
          <w:szCs w:val="32"/>
        </w:rPr>
        <w:t>月度平均值确定。</w:t>
      </w:r>
    </w:p>
    <w:p w:rsidR="00A171A7" w:rsidRDefault="00A171A7" w:rsidP="00A171A7">
      <w:pPr>
        <w:spacing w:line="560" w:lineRule="exact"/>
        <w:ind w:firstLineChars="200" w:firstLine="596"/>
        <w:jc w:val="left"/>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（二）入网工业污水按有害污染物多因子浓度分档收费标准</w:t>
      </w:r>
    </w:p>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1506"/>
        <w:gridCol w:w="1417"/>
        <w:gridCol w:w="1377"/>
        <w:gridCol w:w="1378"/>
        <w:gridCol w:w="1673"/>
      </w:tblGrid>
      <w:tr w:rsidR="00A171A7" w:rsidTr="00725CFA">
        <w:tc>
          <w:tcPr>
            <w:tcW w:w="1784" w:type="dxa"/>
            <w:vMerge w:val="restart"/>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有害污染物名称</w:t>
            </w:r>
          </w:p>
        </w:tc>
        <w:tc>
          <w:tcPr>
            <w:tcW w:w="1506" w:type="dxa"/>
            <w:vMerge w:val="restart"/>
            <w:noWrap/>
            <w:vAlign w:val="center"/>
          </w:tcPr>
          <w:p w:rsidR="00A171A7" w:rsidRDefault="00A171A7" w:rsidP="00725CFA">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入网基准值</w:t>
            </w:r>
          </w:p>
        </w:tc>
        <w:tc>
          <w:tcPr>
            <w:tcW w:w="1417" w:type="dxa"/>
            <w:vMerge w:val="restart"/>
            <w:noWrap/>
            <w:vAlign w:val="center"/>
          </w:tcPr>
          <w:p w:rsidR="00A171A7" w:rsidRPr="00E606EF" w:rsidRDefault="00A171A7" w:rsidP="00725CFA">
            <w:pPr>
              <w:spacing w:line="400" w:lineRule="exact"/>
              <w:jc w:val="center"/>
              <w:rPr>
                <w:rFonts w:ascii="仿宋_GB2312" w:eastAsia="仿宋_GB2312" w:hAnsi="仿宋_GB2312" w:cs="仿宋_GB2312"/>
                <w:sz w:val="24"/>
              </w:rPr>
            </w:pPr>
            <w:r w:rsidRPr="00E606EF">
              <w:rPr>
                <w:rFonts w:ascii="仿宋_GB2312" w:eastAsia="仿宋_GB2312" w:hAnsi="仿宋_GB2312" w:cs="仿宋_GB2312" w:hint="eastAsia"/>
                <w:sz w:val="24"/>
              </w:rPr>
              <w:t>每档值</w:t>
            </w:r>
          </w:p>
        </w:tc>
        <w:tc>
          <w:tcPr>
            <w:tcW w:w="4428" w:type="dxa"/>
            <w:gridSpan w:val="3"/>
            <w:noWrap/>
          </w:tcPr>
          <w:p w:rsidR="00A171A7" w:rsidRPr="00E606EF" w:rsidRDefault="00A171A7" w:rsidP="00725CFA">
            <w:pPr>
              <w:spacing w:line="400" w:lineRule="exact"/>
              <w:jc w:val="center"/>
              <w:rPr>
                <w:rFonts w:ascii="仿宋_GB2312" w:eastAsia="仿宋_GB2312" w:hAnsi="仿宋_GB2312" w:cs="仿宋_GB2312"/>
                <w:sz w:val="24"/>
              </w:rPr>
            </w:pPr>
            <w:r w:rsidRPr="00E606EF">
              <w:rPr>
                <w:rFonts w:ascii="仿宋_GB2312" w:eastAsia="仿宋_GB2312" w:hAnsi="仿宋_GB2312" w:cs="仿宋_GB2312" w:hint="eastAsia"/>
                <w:sz w:val="24"/>
              </w:rPr>
              <w:t>超基准值按每一档收取污水处理费</w:t>
            </w:r>
          </w:p>
          <w:p w:rsidR="00A171A7" w:rsidRPr="00E606EF" w:rsidRDefault="00A171A7" w:rsidP="00725CFA">
            <w:pPr>
              <w:spacing w:line="400" w:lineRule="exact"/>
              <w:jc w:val="center"/>
              <w:rPr>
                <w:rFonts w:ascii="仿宋_GB2312" w:eastAsia="仿宋_GB2312" w:hAnsi="仿宋_GB2312" w:cs="仿宋_GB2312"/>
                <w:sz w:val="24"/>
              </w:rPr>
            </w:pPr>
            <w:r w:rsidRPr="00E606EF">
              <w:rPr>
                <w:rFonts w:ascii="仿宋_GB2312" w:eastAsia="仿宋_GB2312" w:hAnsi="仿宋_GB2312" w:cs="仿宋_GB2312" w:hint="eastAsia"/>
                <w:sz w:val="24"/>
              </w:rPr>
              <w:t>（元/立方米）</w:t>
            </w:r>
          </w:p>
        </w:tc>
      </w:tr>
      <w:tr w:rsidR="00A171A7" w:rsidTr="00725CFA">
        <w:tc>
          <w:tcPr>
            <w:tcW w:w="1784" w:type="dxa"/>
            <w:vMerge/>
            <w:noWrap/>
          </w:tcPr>
          <w:p w:rsidR="00A171A7" w:rsidRDefault="00A171A7" w:rsidP="00725CFA">
            <w:pPr>
              <w:spacing w:line="400" w:lineRule="exact"/>
              <w:jc w:val="center"/>
              <w:rPr>
                <w:rFonts w:ascii="仿宋_GB2312" w:eastAsia="仿宋_GB2312" w:hAnsi="仿宋_GB2312" w:cs="仿宋_GB2312"/>
                <w:sz w:val="24"/>
              </w:rPr>
            </w:pPr>
          </w:p>
        </w:tc>
        <w:tc>
          <w:tcPr>
            <w:tcW w:w="1506" w:type="dxa"/>
            <w:vMerge/>
            <w:noWrap/>
          </w:tcPr>
          <w:p w:rsidR="00A171A7" w:rsidRDefault="00A171A7" w:rsidP="00725CFA">
            <w:pPr>
              <w:spacing w:line="400" w:lineRule="exact"/>
              <w:jc w:val="center"/>
              <w:rPr>
                <w:rFonts w:ascii="仿宋_GB2312" w:eastAsia="仿宋_GB2312" w:hAnsi="仿宋_GB2312" w:cs="仿宋_GB2312"/>
                <w:sz w:val="24"/>
              </w:rPr>
            </w:pPr>
          </w:p>
        </w:tc>
        <w:tc>
          <w:tcPr>
            <w:tcW w:w="1417" w:type="dxa"/>
            <w:vMerge/>
            <w:noWrap/>
          </w:tcPr>
          <w:p w:rsidR="00A171A7" w:rsidRPr="00E606EF" w:rsidRDefault="00A171A7" w:rsidP="00725CFA">
            <w:pPr>
              <w:spacing w:line="400" w:lineRule="exact"/>
              <w:jc w:val="center"/>
              <w:rPr>
                <w:rFonts w:ascii="仿宋_GB2312" w:eastAsia="仿宋_GB2312" w:hAnsi="仿宋_GB2312" w:cs="仿宋_GB2312"/>
                <w:sz w:val="24"/>
              </w:rPr>
            </w:pPr>
          </w:p>
        </w:tc>
        <w:tc>
          <w:tcPr>
            <w:tcW w:w="1377" w:type="dxa"/>
            <w:noWrap/>
          </w:tcPr>
          <w:p w:rsidR="00A171A7" w:rsidRPr="00E606EF" w:rsidRDefault="00A171A7" w:rsidP="00725CFA">
            <w:pPr>
              <w:spacing w:line="400" w:lineRule="exact"/>
              <w:jc w:val="center"/>
              <w:rPr>
                <w:rFonts w:ascii="仿宋_GB2312" w:eastAsia="仿宋_GB2312" w:hAnsi="仿宋_GB2312" w:cs="仿宋_GB2312"/>
                <w:sz w:val="24"/>
              </w:rPr>
            </w:pPr>
            <w:r w:rsidRPr="00E606EF">
              <w:rPr>
                <w:rFonts w:ascii="仿宋_GB2312" w:eastAsia="仿宋_GB2312" w:hAnsi="仿宋_GB2312" w:cs="仿宋_GB2312" w:hint="eastAsia"/>
                <w:sz w:val="24"/>
              </w:rPr>
              <w:t>A</w:t>
            </w:r>
            <w:r w:rsidR="00543CF4" w:rsidRPr="00E606EF">
              <w:rPr>
                <w:rFonts w:ascii="仿宋_GB2312" w:eastAsia="仿宋_GB2312" w:hAnsi="仿宋_GB2312" w:cs="仿宋_GB2312" w:hint="eastAsia"/>
                <w:sz w:val="24"/>
              </w:rPr>
              <w:t>/B</w:t>
            </w:r>
            <w:r w:rsidRPr="00E606EF">
              <w:rPr>
                <w:rFonts w:ascii="仿宋_GB2312" w:eastAsia="仿宋_GB2312" w:hAnsi="仿宋_GB2312" w:cs="仿宋_GB2312" w:hint="eastAsia"/>
                <w:sz w:val="24"/>
              </w:rPr>
              <w:t>类企业</w:t>
            </w:r>
          </w:p>
        </w:tc>
        <w:tc>
          <w:tcPr>
            <w:tcW w:w="1378" w:type="dxa"/>
            <w:noWrap/>
          </w:tcPr>
          <w:p w:rsidR="00A171A7" w:rsidRDefault="00543CF4"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C</w:t>
            </w:r>
            <w:r w:rsidR="00A171A7">
              <w:rPr>
                <w:rFonts w:ascii="仿宋_GB2312" w:eastAsia="仿宋_GB2312" w:hAnsi="仿宋_GB2312" w:cs="仿宋_GB2312" w:hint="eastAsia"/>
                <w:sz w:val="24"/>
              </w:rPr>
              <w:t>类企业</w:t>
            </w:r>
          </w:p>
        </w:tc>
        <w:tc>
          <w:tcPr>
            <w:tcW w:w="1673" w:type="dxa"/>
            <w:noWrap/>
          </w:tcPr>
          <w:p w:rsidR="00A171A7" w:rsidRDefault="00543CF4"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D</w:t>
            </w:r>
            <w:r w:rsidR="00A171A7">
              <w:rPr>
                <w:rFonts w:ascii="仿宋_GB2312" w:eastAsia="仿宋_GB2312" w:hAnsi="仿宋_GB2312" w:cs="仿宋_GB2312" w:hint="eastAsia"/>
                <w:sz w:val="24"/>
              </w:rPr>
              <w:t>类企业</w:t>
            </w:r>
          </w:p>
        </w:tc>
      </w:tr>
      <w:tr w:rsidR="00A171A7" w:rsidTr="00725CFA">
        <w:tc>
          <w:tcPr>
            <w:tcW w:w="1784" w:type="dxa"/>
            <w:noWrap/>
            <w:vAlign w:val="center"/>
          </w:tcPr>
          <w:p w:rsidR="00A171A7" w:rsidRDefault="00A171A7" w:rsidP="00725CFA">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酸碱度</w:t>
            </w:r>
          </w:p>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（PH值）</w:t>
            </w:r>
          </w:p>
        </w:tc>
        <w:tc>
          <w:tcPr>
            <w:tcW w:w="1506" w:type="dxa"/>
            <w:noWrap/>
            <w:vAlign w:val="center"/>
          </w:tcPr>
          <w:p w:rsidR="00A171A7" w:rsidRDefault="00A171A7" w:rsidP="00725CFA">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6-9</w:t>
            </w:r>
          </w:p>
        </w:tc>
        <w:tc>
          <w:tcPr>
            <w:tcW w:w="1417" w:type="dxa"/>
            <w:noWrap/>
            <w:vAlign w:val="center"/>
          </w:tcPr>
          <w:p w:rsidR="00A171A7" w:rsidRDefault="00A171A7" w:rsidP="00725CFA">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p>
        </w:tc>
        <w:tc>
          <w:tcPr>
            <w:tcW w:w="1377" w:type="dxa"/>
            <w:noWrap/>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＜6时每档加收0.40元，＞9时每档加收0.20元。</w:t>
            </w:r>
          </w:p>
        </w:tc>
        <w:tc>
          <w:tcPr>
            <w:tcW w:w="1378" w:type="dxa"/>
            <w:noWrap/>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＜6时每档加收0.50元，＞9时每档加收0.25元。</w:t>
            </w:r>
          </w:p>
        </w:tc>
        <w:tc>
          <w:tcPr>
            <w:tcW w:w="1673" w:type="dxa"/>
            <w:noWrap/>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＜6时每档加收0.60元，＞9时每档加收0.30元。</w:t>
            </w:r>
          </w:p>
        </w:tc>
      </w:tr>
      <w:tr w:rsidR="00A171A7" w:rsidTr="00725CFA">
        <w:trPr>
          <w:trHeight w:val="460"/>
        </w:trPr>
        <w:tc>
          <w:tcPr>
            <w:tcW w:w="1784"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悬浮物（SS）</w:t>
            </w:r>
          </w:p>
        </w:tc>
        <w:tc>
          <w:tcPr>
            <w:tcW w:w="1506"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400（mg/L）</w:t>
            </w:r>
          </w:p>
        </w:tc>
        <w:tc>
          <w:tcPr>
            <w:tcW w:w="1417" w:type="dxa"/>
            <w:noWrap/>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50（mg/L）</w:t>
            </w:r>
          </w:p>
        </w:tc>
        <w:tc>
          <w:tcPr>
            <w:tcW w:w="1377"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w:t>
            </w:r>
          </w:p>
        </w:tc>
        <w:tc>
          <w:tcPr>
            <w:tcW w:w="1378"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w:t>
            </w:r>
          </w:p>
        </w:tc>
        <w:tc>
          <w:tcPr>
            <w:tcW w:w="1673"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0.30</w:t>
            </w:r>
          </w:p>
        </w:tc>
      </w:tr>
      <w:tr w:rsidR="00A171A7" w:rsidTr="00725CFA">
        <w:trPr>
          <w:trHeight w:val="655"/>
        </w:trPr>
        <w:tc>
          <w:tcPr>
            <w:tcW w:w="1784"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磷酸盐</w:t>
            </w:r>
          </w:p>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（以P计）</w:t>
            </w:r>
          </w:p>
        </w:tc>
        <w:tc>
          <w:tcPr>
            <w:tcW w:w="1506"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8(mg/L)</w:t>
            </w:r>
          </w:p>
        </w:tc>
        <w:tc>
          <w:tcPr>
            <w:tcW w:w="1417"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0.5（mg/L）</w:t>
            </w:r>
          </w:p>
        </w:tc>
        <w:tc>
          <w:tcPr>
            <w:tcW w:w="1377"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w:t>
            </w:r>
          </w:p>
        </w:tc>
        <w:tc>
          <w:tcPr>
            <w:tcW w:w="1378"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w:t>
            </w:r>
          </w:p>
        </w:tc>
        <w:tc>
          <w:tcPr>
            <w:tcW w:w="1673"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0.30</w:t>
            </w:r>
          </w:p>
        </w:tc>
      </w:tr>
      <w:tr w:rsidR="00A171A7" w:rsidTr="00725CFA">
        <w:trPr>
          <w:trHeight w:val="510"/>
        </w:trPr>
        <w:tc>
          <w:tcPr>
            <w:tcW w:w="1784" w:type="dxa"/>
            <w:noWrap/>
            <w:vAlign w:val="center"/>
          </w:tcPr>
          <w:p w:rsidR="00A171A7" w:rsidRDefault="00A171A7" w:rsidP="00725C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pacing w:val="-11"/>
                <w:sz w:val="24"/>
              </w:rPr>
              <w:t>氨氧（NH3-N）</w:t>
            </w:r>
          </w:p>
        </w:tc>
        <w:tc>
          <w:tcPr>
            <w:tcW w:w="1506" w:type="dxa"/>
            <w:noWrap/>
            <w:vAlign w:val="center"/>
          </w:tcPr>
          <w:p w:rsidR="00A171A7" w:rsidRDefault="00A171A7" w:rsidP="00725CFA">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45(mg/L）</w:t>
            </w:r>
          </w:p>
        </w:tc>
        <w:tc>
          <w:tcPr>
            <w:tcW w:w="1417" w:type="dxa"/>
            <w:noWrap/>
            <w:vAlign w:val="center"/>
          </w:tcPr>
          <w:p w:rsidR="00A171A7" w:rsidRDefault="00A171A7" w:rsidP="00725CFA">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5(mg/L）</w:t>
            </w:r>
          </w:p>
        </w:tc>
        <w:tc>
          <w:tcPr>
            <w:tcW w:w="1377"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w:t>
            </w:r>
          </w:p>
        </w:tc>
        <w:tc>
          <w:tcPr>
            <w:tcW w:w="1378"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w:t>
            </w:r>
          </w:p>
        </w:tc>
        <w:tc>
          <w:tcPr>
            <w:tcW w:w="1673" w:type="dxa"/>
            <w:noWrap/>
            <w:vAlign w:val="center"/>
          </w:tcPr>
          <w:p w:rsidR="00A171A7" w:rsidRDefault="00A171A7" w:rsidP="00725C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0.30</w:t>
            </w:r>
          </w:p>
        </w:tc>
      </w:tr>
    </w:tbl>
    <w:p w:rsidR="00A171A7" w:rsidRDefault="00A171A7" w:rsidP="00A171A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注：（1）每档加收必须满一档值，不超档累进加价。（2）上述4种有害污染物浓度按月度实测最高值计收。（3）企业分类标准出现交叉时，按高一档收费标准执行。</w:t>
      </w:r>
    </w:p>
    <w:p w:rsidR="00A171A7" w:rsidRDefault="00A171A7" w:rsidP="00A171A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四、计量方式</w:t>
      </w:r>
    </w:p>
    <w:p w:rsidR="00A171A7" w:rsidRDefault="00A171A7" w:rsidP="00A171A7">
      <w:pPr>
        <w:pStyle w:val="1"/>
        <w:spacing w:line="56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全市所有入网工业企业排放口安装流量计，以（自来水和自备水）用水总量，乘以行业比例标准（行业比例标准按照嵊政办[2016]42号文件执行）；与排放口流量计计量进行比较，两者就高收费。</w:t>
      </w:r>
    </w:p>
    <w:p w:rsidR="00A171A7" w:rsidRDefault="00A171A7" w:rsidP="00A171A7">
      <w:pPr>
        <w:spacing w:line="560" w:lineRule="exact"/>
        <w:ind w:firstLine="630"/>
        <w:rPr>
          <w:rFonts w:ascii="黑体" w:eastAsia="黑体" w:hAnsi="黑体" w:cs="黑体"/>
          <w:sz w:val="32"/>
          <w:szCs w:val="32"/>
        </w:rPr>
      </w:pPr>
      <w:r>
        <w:rPr>
          <w:rFonts w:ascii="黑体" w:eastAsia="黑体" w:hAnsi="黑体" w:cs="黑体" w:hint="eastAsia"/>
          <w:sz w:val="32"/>
          <w:szCs w:val="32"/>
        </w:rPr>
        <w:t>五、工作要求</w:t>
      </w:r>
    </w:p>
    <w:p w:rsidR="00A171A7" w:rsidRDefault="00A171A7" w:rsidP="00A171A7">
      <w:pPr>
        <w:spacing w:line="560" w:lineRule="exact"/>
        <w:ind w:firstLine="630"/>
        <w:rPr>
          <w:rFonts w:ascii="仿宋_GB2312" w:eastAsia="仿宋_GB2312" w:hAnsi="仿宋_GB2312" w:cs="仿宋_GB2312"/>
          <w:sz w:val="32"/>
          <w:szCs w:val="32"/>
        </w:rPr>
      </w:pPr>
      <w:r>
        <w:rPr>
          <w:rFonts w:ascii="楷体" w:eastAsia="楷体" w:hAnsi="楷体" w:cs="楷体" w:hint="eastAsia"/>
          <w:b/>
          <w:bCs/>
          <w:sz w:val="32"/>
          <w:szCs w:val="32"/>
        </w:rPr>
        <w:t>（一）加强组织领导。</w:t>
      </w:r>
      <w:r>
        <w:rPr>
          <w:rFonts w:ascii="仿宋_GB2312" w:eastAsia="仿宋_GB2312" w:hAnsi="仿宋_GB2312" w:cs="仿宋_GB2312" w:hint="eastAsia"/>
          <w:sz w:val="32"/>
          <w:szCs w:val="32"/>
        </w:rPr>
        <w:t>实行工业污水按有害污染物浓度多因子复合计收污水处理费政策是推进曹娥江嵊州段污水入河问题整治的重要举措，对促进企业进行污水预处理和达标排放，改善入河水质有重要作用。各乡镇（街道）、有关部门要高度重视此项工作，切实加强组织领导，加大执行力度，抓紧抓实落实各项整改措施，将其作为要素市场化配置综合配套改革的重点工作予以推进。</w:t>
      </w:r>
    </w:p>
    <w:p w:rsidR="00A171A7" w:rsidRDefault="00A171A7" w:rsidP="00A171A7">
      <w:pPr>
        <w:spacing w:line="560" w:lineRule="exact"/>
        <w:ind w:firstLine="630"/>
        <w:rPr>
          <w:rFonts w:ascii="仿宋_GB2312" w:eastAsia="仿宋_GB2312" w:hAnsi="仿宋_GB2312" w:cs="仿宋_GB2312"/>
          <w:sz w:val="32"/>
          <w:szCs w:val="32"/>
        </w:rPr>
      </w:pPr>
      <w:r>
        <w:rPr>
          <w:rFonts w:ascii="楷体" w:eastAsia="楷体" w:hAnsi="楷体" w:cs="楷体" w:hint="eastAsia"/>
          <w:b/>
          <w:bCs/>
          <w:sz w:val="32"/>
          <w:szCs w:val="32"/>
        </w:rPr>
        <w:t>（二）加强部门协调。</w:t>
      </w:r>
      <w:r>
        <w:rPr>
          <w:rFonts w:ascii="仿宋_GB2312" w:eastAsia="仿宋_GB2312" w:hAnsi="仿宋_GB2312" w:cs="仿宋_GB2312" w:hint="eastAsia"/>
          <w:sz w:val="32"/>
          <w:szCs w:val="32"/>
        </w:rPr>
        <w:t>市级有关部门要根据职责，密切沟通协调，合力做好工业污水按有害污染物浓度多因子复合计收污水处理费的各项工作。市发改局、市市场监管局要加强收费执行情况的监督检查指导，督促污水处理企业严格按规定的收费标准执行。市生态环境分局负责确定入网企业名单,会同水投集团细化检测工作，每月抽检不少于2次，每次抽检设2个样本，采样时由排污企业签字确认，确保检测数据的准确性；加大环保执法力度，依法严格查处污水排放</w:t>
      </w:r>
      <w:r>
        <w:rPr>
          <w:rFonts w:ascii="仿宋_GB2312" w:eastAsia="仿宋_GB2312" w:hAnsi="仿宋_GB2312" w:cs="仿宋_GB2312" w:hint="eastAsia"/>
          <w:sz w:val="32"/>
          <w:szCs w:val="32"/>
        </w:rPr>
        <w:lastRenderedPageBreak/>
        <w:t>企业偷排、超标排放等违法行为。市经信局要按规定动态确定亩产效益综合评价企业分类及名单。市水利局要加强企业自备水取水管理，建立完善自备取水在线监控系统，强化水资源管理。市财政局要加强监督污水处理费的收支管理。市水投集团按照各入网企业行业分类,根据比率系数及相关核算方法,做好污水处理费收缴工作，确保足额征收。</w:t>
      </w:r>
      <w:r w:rsidR="00543CF4">
        <w:rPr>
          <w:rFonts w:ascii="仿宋_GB2312" w:eastAsia="仿宋_GB2312" w:hAnsi="仿宋_GB2312" w:cs="仿宋_GB2312" w:hint="eastAsia"/>
          <w:sz w:val="32"/>
          <w:szCs w:val="32"/>
        </w:rPr>
        <w:t>两办督考部门要按月通报污水处理收费各项工作推进情况。</w:t>
      </w:r>
    </w:p>
    <w:p w:rsidR="00A171A7" w:rsidRDefault="00A171A7" w:rsidP="00A171A7">
      <w:pPr>
        <w:spacing w:line="560" w:lineRule="exact"/>
        <w:ind w:firstLine="630"/>
        <w:rPr>
          <w:rFonts w:ascii="仿宋_GB2312" w:eastAsia="仿宋_GB2312" w:hAnsi="仿宋_GB2312" w:cs="仿宋_GB2312"/>
          <w:sz w:val="32"/>
          <w:szCs w:val="32"/>
        </w:rPr>
      </w:pPr>
      <w:r>
        <w:rPr>
          <w:rFonts w:ascii="楷体" w:eastAsia="楷体" w:hAnsi="楷体" w:cs="楷体" w:hint="eastAsia"/>
          <w:b/>
          <w:bCs/>
          <w:sz w:val="32"/>
          <w:szCs w:val="32"/>
        </w:rPr>
        <w:t>（三）加强舆论宣传。</w:t>
      </w:r>
      <w:r>
        <w:rPr>
          <w:rFonts w:ascii="仿宋_GB2312" w:eastAsia="仿宋_GB2312" w:hAnsi="仿宋_GB2312" w:cs="仿宋_GB2312" w:hint="eastAsia"/>
          <w:sz w:val="32"/>
          <w:szCs w:val="32"/>
        </w:rPr>
        <w:t>积极通过各种媒体途径和网络平台，宣传实行工业污水按有害污染物浓度复合计收污水处理费政策的重要意义，引导企业高度重视，积极作为，充分认识该政策对提高资源配置效率、促进节约用水、减少污染、保护生态环境所起的重要作用，并做好向社会公开信息工作，引导人民群众关心、参与、支持，唤起全民的生态意识和可持续发展意识。</w:t>
      </w:r>
    </w:p>
    <w:p w:rsidR="00A171A7" w:rsidRDefault="00A171A7" w:rsidP="00A171A7">
      <w:pPr>
        <w:spacing w:line="560" w:lineRule="exact"/>
        <w:ind w:firstLine="630"/>
        <w:rPr>
          <w:rFonts w:ascii="黑体" w:eastAsia="黑体" w:hAnsi="黑体" w:cs="黑体" w:hint="eastAsia"/>
          <w:sz w:val="32"/>
          <w:szCs w:val="32"/>
        </w:rPr>
      </w:pPr>
      <w:r>
        <w:rPr>
          <w:rFonts w:ascii="黑体" w:eastAsia="黑体" w:hAnsi="黑体" w:cs="黑体" w:hint="eastAsia"/>
          <w:sz w:val="32"/>
          <w:szCs w:val="32"/>
        </w:rPr>
        <w:t>六、本意见自发文之日起执行。</w:t>
      </w:r>
    </w:p>
    <w:p w:rsidR="00E606EF" w:rsidRPr="00E606EF" w:rsidRDefault="00E606EF" w:rsidP="00E606EF">
      <w:pPr>
        <w:pStyle w:val="1"/>
        <w:rPr>
          <w:rFonts w:hint="eastAsia"/>
        </w:rPr>
      </w:pPr>
    </w:p>
    <w:p w:rsidR="009C0B5A" w:rsidRPr="00E606EF" w:rsidRDefault="009C0B5A"/>
    <w:sectPr w:rsidR="009C0B5A" w:rsidRPr="00E606EF" w:rsidSect="009C0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FA5" w:rsidRDefault="00C51FA5" w:rsidP="008576AA">
      <w:r>
        <w:separator/>
      </w:r>
    </w:p>
  </w:endnote>
  <w:endnote w:type="continuationSeparator" w:id="1">
    <w:p w:rsidR="00C51FA5" w:rsidRDefault="00C51FA5" w:rsidP="00857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FA5" w:rsidRDefault="00C51FA5" w:rsidP="008576AA">
      <w:r>
        <w:separator/>
      </w:r>
    </w:p>
  </w:footnote>
  <w:footnote w:type="continuationSeparator" w:id="1">
    <w:p w:rsidR="00C51FA5" w:rsidRDefault="00C51FA5" w:rsidP="00857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1A7"/>
    <w:rsid w:val="000B6003"/>
    <w:rsid w:val="002E5D6D"/>
    <w:rsid w:val="00543CF4"/>
    <w:rsid w:val="00711787"/>
    <w:rsid w:val="00790ED9"/>
    <w:rsid w:val="008576AA"/>
    <w:rsid w:val="00882880"/>
    <w:rsid w:val="009751AA"/>
    <w:rsid w:val="009C0B5A"/>
    <w:rsid w:val="00A171A7"/>
    <w:rsid w:val="00A92219"/>
    <w:rsid w:val="00C51FA5"/>
    <w:rsid w:val="00D33F5A"/>
    <w:rsid w:val="00DD3405"/>
    <w:rsid w:val="00E60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171A7"/>
    <w:pPr>
      <w:widowControl w:val="0"/>
      <w:jc w:val="both"/>
    </w:pPr>
    <w:rPr>
      <w:rFonts w:ascii="Times New Roman" w:eastAsia="宋体" w:hAnsi="Times New Roman" w:cs="Times New Roman"/>
      <w:szCs w:val="24"/>
    </w:rPr>
  </w:style>
  <w:style w:type="paragraph" w:styleId="1">
    <w:name w:val="heading 1"/>
    <w:basedOn w:val="a"/>
    <w:next w:val="2"/>
    <w:link w:val="1Char"/>
    <w:qFormat/>
    <w:rsid w:val="00A171A7"/>
    <w:pPr>
      <w:spacing w:line="240" w:lineRule="atLeast"/>
      <w:jc w:val="center"/>
      <w:outlineLvl w:val="0"/>
    </w:pPr>
    <w:rPr>
      <w:rFonts w:ascii="Arial" w:eastAsia="黑体" w:hAnsi="Arial" w:cs="Arial"/>
      <w:sz w:val="32"/>
      <w:szCs w:val="32"/>
    </w:rPr>
  </w:style>
  <w:style w:type="paragraph" w:styleId="2">
    <w:name w:val="heading 2"/>
    <w:basedOn w:val="a"/>
    <w:next w:val="a"/>
    <w:link w:val="2Char"/>
    <w:uiPriority w:val="9"/>
    <w:semiHidden/>
    <w:unhideWhenUsed/>
    <w:qFormat/>
    <w:rsid w:val="00A171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171A7"/>
    <w:rPr>
      <w:rFonts w:ascii="Arial" w:eastAsia="黑体" w:hAnsi="Arial" w:cs="Arial"/>
      <w:sz w:val="32"/>
      <w:szCs w:val="32"/>
    </w:rPr>
  </w:style>
  <w:style w:type="character" w:customStyle="1" w:styleId="2Char">
    <w:name w:val="标题 2 Char"/>
    <w:basedOn w:val="a0"/>
    <w:link w:val="2"/>
    <w:uiPriority w:val="9"/>
    <w:semiHidden/>
    <w:rsid w:val="00A171A7"/>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857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76AA"/>
    <w:rPr>
      <w:rFonts w:ascii="Times New Roman" w:eastAsia="宋体" w:hAnsi="Times New Roman" w:cs="Times New Roman"/>
      <w:sz w:val="18"/>
      <w:szCs w:val="18"/>
    </w:rPr>
  </w:style>
  <w:style w:type="paragraph" w:styleId="a4">
    <w:name w:val="footer"/>
    <w:basedOn w:val="a"/>
    <w:link w:val="Char0"/>
    <w:uiPriority w:val="99"/>
    <w:semiHidden/>
    <w:unhideWhenUsed/>
    <w:rsid w:val="008576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76AA"/>
    <w:rPr>
      <w:rFonts w:ascii="Times New Roman" w:eastAsia="宋体" w:hAnsi="Times New Roman" w:cs="Times New Roman"/>
      <w:sz w:val="18"/>
      <w:szCs w:val="18"/>
    </w:rPr>
  </w:style>
  <w:style w:type="paragraph" w:styleId="a5">
    <w:name w:val="Balloon Text"/>
    <w:basedOn w:val="a"/>
    <w:link w:val="Char1"/>
    <w:uiPriority w:val="99"/>
    <w:semiHidden/>
    <w:unhideWhenUsed/>
    <w:rsid w:val="00790ED9"/>
    <w:rPr>
      <w:sz w:val="18"/>
      <w:szCs w:val="18"/>
    </w:rPr>
  </w:style>
  <w:style w:type="character" w:customStyle="1" w:styleId="Char1">
    <w:name w:val="批注框文本 Char"/>
    <w:basedOn w:val="a0"/>
    <w:link w:val="a5"/>
    <w:uiPriority w:val="99"/>
    <w:semiHidden/>
    <w:rsid w:val="00790E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315</Words>
  <Characters>1797</Characters>
  <Application>Microsoft Office Word</Application>
  <DocSecurity>0</DocSecurity>
  <Lines>14</Lines>
  <Paragraphs>4</Paragraphs>
  <ScaleCrop>false</ScaleCrop>
  <Company>微软中国</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钟梦鸽</dc:creator>
  <cp:lastModifiedBy>钟梦鸽</cp:lastModifiedBy>
  <cp:revision>6</cp:revision>
  <cp:lastPrinted>2021-09-06T06:47:00Z</cp:lastPrinted>
  <dcterms:created xsi:type="dcterms:W3CDTF">2021-09-06T01:11:00Z</dcterms:created>
  <dcterms:modified xsi:type="dcterms:W3CDTF">2021-09-06T07:22:00Z</dcterms:modified>
</cp:coreProperties>
</file>