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5F66" w:rsidRDefault="008F1B68">
      <w:pPr>
        <w:pStyle w:val="2"/>
        <w:keepNext w:val="0"/>
        <w:keepLines w:val="0"/>
        <w:adjustRightInd w:val="0"/>
        <w:snapToGrid w:val="0"/>
        <w:spacing w:before="0" w:after="0" w:line="640" w:lineRule="exact"/>
        <w:jc w:val="center"/>
        <w:rPr>
          <w:rFonts w:ascii="Times New Roman" w:eastAsia="方正小标宋简体" w:hAnsi="Times New Roman"/>
          <w:b w:val="0"/>
          <w:sz w:val="44"/>
          <w:szCs w:val="44"/>
        </w:rPr>
      </w:pPr>
      <w:r>
        <w:rPr>
          <w:rFonts w:ascii="Times New Roman" w:eastAsia="方正小标宋简体" w:hAnsi="Times New Roman"/>
          <w:b w:val="0"/>
          <w:sz w:val="44"/>
          <w:szCs w:val="44"/>
        </w:rPr>
        <w:t>关于</w:t>
      </w:r>
      <w:r>
        <w:rPr>
          <w:rFonts w:ascii="Times New Roman" w:eastAsia="方正小标宋简体" w:hAnsi="Times New Roman" w:hint="eastAsia"/>
          <w:b w:val="0"/>
          <w:sz w:val="44"/>
          <w:szCs w:val="44"/>
        </w:rPr>
        <w:t>向社会公开</w:t>
      </w:r>
      <w:r>
        <w:rPr>
          <w:rFonts w:ascii="Times New Roman" w:eastAsia="方正小标宋简体" w:hAnsi="Times New Roman"/>
          <w:b w:val="0"/>
          <w:sz w:val="44"/>
          <w:szCs w:val="44"/>
        </w:rPr>
        <w:t>征求《</w:t>
      </w:r>
      <w:r>
        <w:rPr>
          <w:rFonts w:ascii="Times New Roman" w:eastAsia="方正小标宋简体" w:hAnsi="Times New Roman" w:hint="eastAsia"/>
          <w:b w:val="0"/>
          <w:sz w:val="44"/>
          <w:szCs w:val="44"/>
        </w:rPr>
        <w:t>嵊州市高标准农田建设“十四五”规划（意见征求稿）</w:t>
      </w:r>
      <w:r>
        <w:rPr>
          <w:rFonts w:ascii="Times New Roman" w:eastAsia="方正小标宋简体" w:hAnsi="Times New Roman"/>
          <w:b w:val="0"/>
          <w:sz w:val="44"/>
          <w:szCs w:val="44"/>
        </w:rPr>
        <w:t>》意见的</w:t>
      </w:r>
      <w:r>
        <w:rPr>
          <w:rFonts w:ascii="Times New Roman" w:eastAsia="方正小标宋简体" w:hAnsi="Times New Roman" w:hint="eastAsia"/>
          <w:b w:val="0"/>
          <w:sz w:val="44"/>
          <w:szCs w:val="44"/>
        </w:rPr>
        <w:t>通知</w:t>
      </w:r>
    </w:p>
    <w:p w:rsidR="007F5F66" w:rsidRDefault="007F5F66">
      <w:pPr>
        <w:spacing w:line="640" w:lineRule="exact"/>
        <w:rPr>
          <w:rFonts w:ascii="Times New Roman" w:eastAsia="仿宋_GB2312" w:hAnsi="Times New Roman"/>
          <w:sz w:val="32"/>
        </w:rPr>
      </w:pPr>
    </w:p>
    <w:p w:rsidR="007F5F66" w:rsidRDefault="008F1B6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rPr>
        <w:t>为贯彻落实中央农田建设管理工作新要求，深入实施“藏粮于地、藏粮于技”战略，促进农业农村可持续发展，根据《全国高标准农田建设规划（2021-2030年）》、《浙江省高标准农田建设“十四五”规划》，嵊州市农业农村局研究制定了</w:t>
      </w:r>
      <w:r>
        <w:rPr>
          <w:rFonts w:ascii="仿宋_GB2312" w:eastAsia="仿宋_GB2312" w:hAnsi="仿宋_GB2312" w:cs="仿宋_GB2312" w:hint="eastAsia"/>
          <w:kern w:val="0"/>
          <w:sz w:val="32"/>
          <w:szCs w:val="32"/>
        </w:rPr>
        <w:t>《嵊州市高标准农田建设“十四五”规划（意见征求稿）》，</w:t>
      </w:r>
      <w:r>
        <w:rPr>
          <w:rFonts w:ascii="仿宋_GB2312" w:eastAsia="仿宋_GB2312" w:hAnsi="仿宋_GB2312" w:cs="仿宋_GB2312" w:hint="eastAsia"/>
          <w:sz w:val="32"/>
        </w:rPr>
        <w:t>现</w:t>
      </w:r>
      <w:r>
        <w:rPr>
          <w:rFonts w:ascii="仿宋_GB2312" w:eastAsia="仿宋_GB2312" w:hAnsi="仿宋_GB2312" w:cs="仿宋_GB2312" w:hint="eastAsia"/>
          <w:kern w:val="0"/>
          <w:sz w:val="32"/>
          <w:szCs w:val="32"/>
        </w:rPr>
        <w:t>向社会公众公开征求意见，意见征集时间为4月27日——5月27日。如有修改意见或建议，请</w:t>
      </w:r>
      <w:r>
        <w:rPr>
          <w:rFonts w:ascii="仿宋_GB2312" w:eastAsia="仿宋_GB2312" w:hAnsi="仿宋_GB2312" w:cs="仿宋_GB2312" w:hint="eastAsia"/>
          <w:sz w:val="32"/>
          <w:szCs w:val="32"/>
        </w:rPr>
        <w:t>于5月27日前将意见反馈给嵊州市农业农村局。</w:t>
      </w:r>
    </w:p>
    <w:p w:rsidR="007F5F66" w:rsidRDefault="008F1B6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联系人：宋汇锋 </w:t>
      </w:r>
    </w:p>
    <w:p w:rsidR="007F5F66" w:rsidRDefault="008F1B6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联系电话：0575-83103588</w:t>
      </w:r>
    </w:p>
    <w:p w:rsidR="007F5F66" w:rsidRDefault="008F1B6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地址：越秀北路47号农林水大厦402室</w:t>
      </w:r>
    </w:p>
    <w:p w:rsidR="007F5F66" w:rsidRDefault="007F5F66">
      <w:pPr>
        <w:widowControl/>
        <w:spacing w:line="560" w:lineRule="exact"/>
        <w:ind w:firstLineChars="200" w:firstLine="640"/>
        <w:rPr>
          <w:rFonts w:ascii="仿宋_GB2312" w:eastAsia="仿宋_GB2312" w:hAnsi="仿宋_GB2312" w:cs="仿宋_GB2312"/>
          <w:kern w:val="0"/>
          <w:sz w:val="32"/>
          <w:szCs w:val="32"/>
        </w:rPr>
      </w:pPr>
    </w:p>
    <w:p w:rsidR="007F5F66" w:rsidRDefault="008F1B68">
      <w:pPr>
        <w:widowControl/>
        <w:spacing w:line="560" w:lineRule="exact"/>
        <w:ind w:leftChars="304" w:left="1598" w:hangingChars="300" w:hanging="96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附件：嵊州市高标准农田建设“十四五”规划（意见征求稿）</w:t>
      </w:r>
    </w:p>
    <w:p w:rsidR="007F5F66" w:rsidRDefault="007F5F66">
      <w:pPr>
        <w:widowControl/>
        <w:spacing w:line="560" w:lineRule="exact"/>
        <w:ind w:firstLineChars="200" w:firstLine="640"/>
        <w:rPr>
          <w:rFonts w:ascii="仿宋_GB2312" w:eastAsia="仿宋_GB2312" w:hAnsi="仿宋_GB2312" w:cs="仿宋_GB2312"/>
          <w:kern w:val="0"/>
          <w:sz w:val="32"/>
          <w:szCs w:val="32"/>
        </w:rPr>
      </w:pPr>
    </w:p>
    <w:p w:rsidR="007F5F66" w:rsidRDefault="007F5F66">
      <w:pPr>
        <w:widowControl/>
        <w:spacing w:line="560" w:lineRule="exact"/>
        <w:ind w:firstLineChars="200" w:firstLine="640"/>
        <w:rPr>
          <w:rFonts w:ascii="仿宋_GB2312" w:eastAsia="仿宋_GB2312" w:hAnsi="仿宋_GB2312" w:cs="仿宋_GB2312"/>
          <w:kern w:val="0"/>
          <w:sz w:val="32"/>
          <w:szCs w:val="32"/>
        </w:rPr>
      </w:pPr>
    </w:p>
    <w:p w:rsidR="007F5F66" w:rsidRDefault="008F1B68">
      <w:pPr>
        <w:widowControl/>
        <w:spacing w:line="560" w:lineRule="exact"/>
        <w:ind w:firstLineChars="200" w:firstLine="640"/>
        <w:jc w:val="righ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嵊州市农业农村局</w:t>
      </w:r>
    </w:p>
    <w:p w:rsidR="007F5F66" w:rsidRDefault="008F1B68">
      <w:pPr>
        <w:widowControl/>
        <w:spacing w:line="560" w:lineRule="exact"/>
        <w:ind w:firstLineChars="200" w:firstLine="640"/>
        <w:jc w:val="right"/>
        <w:rPr>
          <w:rFonts w:ascii="Times New Roman" w:eastAsia="仿宋_GB2312" w:hAnsi="Times New Roman"/>
          <w:kern w:val="0"/>
          <w:sz w:val="32"/>
          <w:szCs w:val="32"/>
        </w:rPr>
      </w:pPr>
      <w:r>
        <w:rPr>
          <w:rFonts w:ascii="仿宋_GB2312" w:eastAsia="仿宋_GB2312" w:hAnsi="仿宋_GB2312" w:cs="仿宋_GB2312" w:hint="eastAsia"/>
          <w:kern w:val="0"/>
          <w:sz w:val="32"/>
          <w:szCs w:val="32"/>
        </w:rPr>
        <w:t>2022年4月27日</w:t>
      </w:r>
    </w:p>
    <w:p w:rsidR="007F5F66" w:rsidRDefault="008F1B68">
      <w:pPr>
        <w:rPr>
          <w:rFonts w:ascii="Times New Roman" w:eastAsia="仿宋_GB2312" w:hAnsi="Times New Roman"/>
          <w:kern w:val="0"/>
          <w:sz w:val="32"/>
          <w:szCs w:val="32"/>
        </w:rPr>
        <w:sectPr w:rsidR="007F5F66">
          <w:footerReference w:type="even" r:id="rId7"/>
          <w:footerReference w:type="default" r:id="rId8"/>
          <w:pgSz w:w="11906" w:h="16838"/>
          <w:pgMar w:top="1588" w:right="1797" w:bottom="1440" w:left="1797" w:header="851" w:footer="992" w:gutter="0"/>
          <w:cols w:space="425"/>
          <w:docGrid w:type="lines" w:linePitch="312"/>
        </w:sectPr>
      </w:pPr>
      <w:r>
        <w:rPr>
          <w:rFonts w:ascii="Times New Roman" w:eastAsia="仿宋_GB2312" w:hAnsi="Times New Roman" w:hint="eastAsia"/>
          <w:kern w:val="0"/>
          <w:sz w:val="32"/>
          <w:szCs w:val="32"/>
        </w:rPr>
        <w:br w:type="page"/>
      </w:r>
    </w:p>
    <w:p w:rsidR="007F5F66" w:rsidRDefault="008F1B68">
      <w:pPr>
        <w:widowControl/>
        <w:spacing w:line="640" w:lineRule="exact"/>
        <w:rPr>
          <w:rFonts w:ascii="黑体" w:eastAsia="黑体" w:hAnsi="黑体" w:cs="Times New Roman"/>
          <w:bCs/>
          <w:kern w:val="0"/>
          <w:sz w:val="32"/>
          <w:szCs w:val="32"/>
        </w:rPr>
      </w:pPr>
      <w:r>
        <w:rPr>
          <w:rFonts w:ascii="黑体" w:eastAsia="黑体" w:hAnsi="黑体" w:cs="Times New Roman" w:hint="eastAsia"/>
          <w:bCs/>
          <w:kern w:val="0"/>
          <w:sz w:val="32"/>
          <w:szCs w:val="32"/>
        </w:rPr>
        <w:lastRenderedPageBreak/>
        <w:t>附件</w:t>
      </w:r>
    </w:p>
    <w:p w:rsidR="007F5F66" w:rsidRDefault="007F5F66"/>
    <w:p w:rsidR="007F5F66" w:rsidRDefault="007F5F66"/>
    <w:p w:rsidR="007F5F66" w:rsidRDefault="007F5F66"/>
    <w:p w:rsidR="007F5F66" w:rsidRDefault="007F5F66"/>
    <w:p w:rsidR="007F5F66" w:rsidRDefault="007F5F66"/>
    <w:p w:rsidR="007F5F66" w:rsidRDefault="008F1B68">
      <w:pPr>
        <w:spacing w:line="1000" w:lineRule="exact"/>
        <w:jc w:val="center"/>
        <w:rPr>
          <w:rFonts w:eastAsia="黑体"/>
          <w:sz w:val="48"/>
          <w:szCs w:val="48"/>
        </w:rPr>
      </w:pPr>
      <w:r>
        <w:rPr>
          <w:rFonts w:eastAsia="黑体" w:hint="eastAsia"/>
          <w:sz w:val="48"/>
          <w:szCs w:val="48"/>
        </w:rPr>
        <w:t>嵊州市</w:t>
      </w:r>
      <w:r>
        <w:rPr>
          <w:rFonts w:eastAsia="黑体"/>
          <w:sz w:val="48"/>
          <w:szCs w:val="48"/>
        </w:rPr>
        <w:t>高标准农田建设</w:t>
      </w:r>
      <w:r>
        <w:rPr>
          <w:rFonts w:eastAsia="黑体"/>
          <w:sz w:val="48"/>
          <w:szCs w:val="48"/>
        </w:rPr>
        <w:t>“</w:t>
      </w:r>
      <w:r>
        <w:rPr>
          <w:rFonts w:eastAsia="黑体"/>
          <w:sz w:val="48"/>
          <w:szCs w:val="48"/>
        </w:rPr>
        <w:t>十</w:t>
      </w:r>
      <w:r>
        <w:rPr>
          <w:rFonts w:eastAsia="黑体" w:hint="eastAsia"/>
          <w:sz w:val="48"/>
          <w:szCs w:val="48"/>
        </w:rPr>
        <w:t>四</w:t>
      </w:r>
      <w:r>
        <w:rPr>
          <w:rFonts w:eastAsia="黑体"/>
          <w:sz w:val="48"/>
          <w:szCs w:val="48"/>
        </w:rPr>
        <w:t>五</w:t>
      </w:r>
      <w:r>
        <w:rPr>
          <w:rFonts w:eastAsia="黑体"/>
          <w:sz w:val="48"/>
          <w:szCs w:val="48"/>
        </w:rPr>
        <w:t>”</w:t>
      </w:r>
      <w:r>
        <w:rPr>
          <w:rFonts w:eastAsia="黑体" w:hint="eastAsia"/>
          <w:sz w:val="48"/>
          <w:szCs w:val="48"/>
        </w:rPr>
        <w:t>规划</w:t>
      </w:r>
    </w:p>
    <w:p w:rsidR="007F5F66" w:rsidRDefault="008F1B68">
      <w:pPr>
        <w:spacing w:line="1000" w:lineRule="exact"/>
        <w:jc w:val="center"/>
        <w:rPr>
          <w:rFonts w:eastAsia="黑体"/>
          <w:sz w:val="36"/>
          <w:szCs w:val="36"/>
        </w:rPr>
      </w:pPr>
      <w:r>
        <w:rPr>
          <w:rFonts w:eastAsia="黑体" w:hint="eastAsia"/>
          <w:sz w:val="36"/>
          <w:szCs w:val="36"/>
        </w:rPr>
        <w:t>（意见征求稿）</w:t>
      </w:r>
    </w:p>
    <w:p w:rsidR="007F5F66" w:rsidRDefault="007F5F66">
      <w:pPr>
        <w:spacing w:line="1000" w:lineRule="exact"/>
        <w:jc w:val="center"/>
        <w:rPr>
          <w:rFonts w:eastAsia="黑体"/>
          <w:sz w:val="36"/>
          <w:szCs w:val="36"/>
        </w:rPr>
      </w:pPr>
    </w:p>
    <w:p w:rsidR="007F5F66" w:rsidRDefault="007F5F66"/>
    <w:p w:rsidR="007F5F66" w:rsidRDefault="00AD3B94">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219pt">
            <v:imagedata r:id="rId9" o:title="" croptop="10199f" cropbottom="11356f"/>
          </v:shape>
        </w:pict>
      </w:r>
    </w:p>
    <w:p w:rsidR="007F5F66" w:rsidRDefault="007F5F66"/>
    <w:p w:rsidR="007F5F66" w:rsidRDefault="007F5F66"/>
    <w:p w:rsidR="007F5F66" w:rsidRDefault="007F5F66"/>
    <w:p w:rsidR="007F5F66" w:rsidRDefault="007F5F66"/>
    <w:p w:rsidR="007F5F66" w:rsidRDefault="007F5F66"/>
    <w:p w:rsidR="007F5F66" w:rsidRDefault="008F1B68">
      <w:pPr>
        <w:jc w:val="center"/>
        <w:rPr>
          <w:rFonts w:eastAsia="黑体"/>
          <w:sz w:val="32"/>
          <w:szCs w:val="32"/>
        </w:rPr>
      </w:pPr>
      <w:r>
        <w:rPr>
          <w:rFonts w:eastAsia="黑体" w:hint="eastAsia"/>
          <w:sz w:val="32"/>
          <w:szCs w:val="32"/>
        </w:rPr>
        <w:t>嵊州市农业农村局</w:t>
      </w:r>
    </w:p>
    <w:p w:rsidR="007F5F66" w:rsidRDefault="008F1B68">
      <w:pPr>
        <w:jc w:val="center"/>
        <w:rPr>
          <w:rFonts w:eastAsia="黑体"/>
          <w:sz w:val="32"/>
          <w:szCs w:val="32"/>
        </w:rPr>
      </w:pPr>
      <w:r>
        <w:rPr>
          <w:rFonts w:eastAsia="黑体"/>
          <w:sz w:val="32"/>
          <w:szCs w:val="32"/>
        </w:rPr>
        <w:t>202</w:t>
      </w:r>
      <w:r>
        <w:rPr>
          <w:rFonts w:eastAsia="黑体" w:hint="eastAsia"/>
          <w:sz w:val="32"/>
          <w:szCs w:val="32"/>
        </w:rPr>
        <w:t>2</w:t>
      </w:r>
      <w:r>
        <w:rPr>
          <w:rFonts w:eastAsia="黑体"/>
          <w:sz w:val="32"/>
          <w:szCs w:val="32"/>
        </w:rPr>
        <w:t>年</w:t>
      </w:r>
      <w:r>
        <w:rPr>
          <w:rFonts w:eastAsia="黑体" w:hint="eastAsia"/>
          <w:sz w:val="32"/>
          <w:szCs w:val="32"/>
        </w:rPr>
        <w:t>2</w:t>
      </w:r>
      <w:r>
        <w:rPr>
          <w:rFonts w:eastAsia="黑体"/>
          <w:sz w:val="32"/>
          <w:szCs w:val="32"/>
        </w:rPr>
        <w:t>月</w:t>
      </w:r>
    </w:p>
    <w:p w:rsidR="007F5F66" w:rsidRDefault="007F5F66">
      <w:pPr>
        <w:jc w:val="center"/>
        <w:rPr>
          <w:rFonts w:eastAsia="黑体"/>
          <w:sz w:val="32"/>
          <w:szCs w:val="32"/>
        </w:rPr>
      </w:pPr>
    </w:p>
    <w:p w:rsidR="007F5F66" w:rsidRDefault="007F5F66">
      <w:pPr>
        <w:jc w:val="center"/>
        <w:rPr>
          <w:rFonts w:eastAsia="黑体"/>
          <w:sz w:val="32"/>
          <w:szCs w:val="32"/>
        </w:rPr>
        <w:sectPr w:rsidR="007F5F66">
          <w:pgSz w:w="11906" w:h="16838"/>
          <w:pgMar w:top="1588" w:right="1797" w:bottom="1440" w:left="1797" w:header="851" w:footer="992" w:gutter="0"/>
          <w:cols w:space="425"/>
          <w:docGrid w:type="lines" w:linePitch="312"/>
        </w:sectPr>
      </w:pPr>
    </w:p>
    <w:p w:rsidR="007F5F66" w:rsidRDefault="008F1B68">
      <w:pPr>
        <w:pStyle w:val="E"/>
        <w:spacing w:beforeLines="0" w:afterLines="0"/>
        <w:ind w:firstLine="560"/>
        <w:jc w:val="center"/>
        <w:rPr>
          <w:rFonts w:ascii="楷体" w:eastAsia="楷体" w:hAnsi="楷体"/>
          <w:sz w:val="24"/>
          <w:szCs w:val="24"/>
        </w:rPr>
      </w:pPr>
      <w:r>
        <w:rPr>
          <w:rFonts w:ascii="楷体" w:eastAsia="楷体" w:hAnsi="楷体" w:hint="eastAsia"/>
        </w:rPr>
        <w:lastRenderedPageBreak/>
        <w:t>目 录</w:t>
      </w:r>
    </w:p>
    <w:p w:rsidR="007F5F66" w:rsidRPr="008F1B68" w:rsidRDefault="008F1B68">
      <w:pPr>
        <w:pStyle w:val="TOC2"/>
        <w:tabs>
          <w:tab w:val="right" w:leader="dot" w:pos="8296"/>
        </w:tabs>
        <w:spacing w:line="300" w:lineRule="auto"/>
        <w:rPr>
          <w:rFonts w:ascii="楷体" w:eastAsia="楷体" w:hAnsi="楷体" w:cs="Times New Roman"/>
        </w:rPr>
      </w:pPr>
      <w:r>
        <w:rPr>
          <w:rStyle w:val="ad"/>
          <w:rFonts w:ascii="楷体" w:eastAsia="楷体" w:hAnsi="楷体"/>
        </w:rPr>
        <w:fldChar w:fldCharType="begin"/>
      </w:r>
      <w:r>
        <w:rPr>
          <w:rStyle w:val="ad"/>
          <w:rFonts w:ascii="楷体" w:eastAsia="楷体" w:hAnsi="楷体"/>
        </w:rPr>
        <w:instrText xml:space="preserve"> </w:instrText>
      </w:r>
      <w:r>
        <w:rPr>
          <w:rStyle w:val="ad"/>
          <w:rFonts w:ascii="楷体" w:eastAsia="楷体" w:hAnsi="楷体" w:hint="eastAsia"/>
        </w:rPr>
        <w:instrText>TOC \o "1-3" \h \z \u</w:instrText>
      </w:r>
      <w:r>
        <w:rPr>
          <w:rStyle w:val="ad"/>
          <w:rFonts w:ascii="楷体" w:eastAsia="楷体" w:hAnsi="楷体"/>
        </w:rPr>
        <w:instrText xml:space="preserve"> </w:instrText>
      </w:r>
      <w:r>
        <w:rPr>
          <w:rStyle w:val="ad"/>
          <w:rFonts w:ascii="楷体" w:eastAsia="楷体" w:hAnsi="楷体"/>
        </w:rPr>
        <w:fldChar w:fldCharType="separate"/>
      </w:r>
      <w:hyperlink w:anchor="_Toc96439410" w:history="1">
        <w:r>
          <w:rPr>
            <w:rStyle w:val="ad"/>
            <w:rFonts w:ascii="楷体" w:eastAsia="楷体" w:hAnsi="楷体" w:hint="eastAsia"/>
          </w:rPr>
          <w:t>前</w:t>
        </w:r>
        <w:r>
          <w:rPr>
            <w:rStyle w:val="ad"/>
            <w:rFonts w:ascii="楷体" w:eastAsia="楷体" w:hAnsi="楷体"/>
          </w:rPr>
          <w:t xml:space="preserve"> </w:t>
        </w:r>
        <w:r>
          <w:rPr>
            <w:rStyle w:val="ad"/>
            <w:rFonts w:ascii="楷体" w:eastAsia="楷体" w:hAnsi="楷体" w:hint="eastAsia"/>
          </w:rPr>
          <w:t>言</w:t>
        </w:r>
        <w:r>
          <w:rPr>
            <w:rFonts w:ascii="楷体" w:eastAsia="楷体" w:hAnsi="楷体"/>
          </w:rPr>
          <w:tab/>
        </w:r>
        <w:r>
          <w:rPr>
            <w:rFonts w:ascii="楷体" w:eastAsia="楷体" w:hAnsi="楷体"/>
          </w:rPr>
          <w:fldChar w:fldCharType="begin"/>
        </w:r>
        <w:r>
          <w:rPr>
            <w:rFonts w:ascii="楷体" w:eastAsia="楷体" w:hAnsi="楷体"/>
          </w:rPr>
          <w:instrText xml:space="preserve"> PAGEREF _Toc96439410 \h </w:instrText>
        </w:r>
        <w:r>
          <w:rPr>
            <w:rFonts w:ascii="楷体" w:eastAsia="楷体" w:hAnsi="楷体"/>
          </w:rPr>
        </w:r>
        <w:r>
          <w:rPr>
            <w:rFonts w:ascii="楷体" w:eastAsia="楷体" w:hAnsi="楷体"/>
          </w:rPr>
          <w:fldChar w:fldCharType="separate"/>
        </w:r>
        <w:r>
          <w:rPr>
            <w:rFonts w:ascii="楷体" w:eastAsia="楷体" w:hAnsi="楷体"/>
          </w:rPr>
          <w:t>- 1 -</w:t>
        </w:r>
        <w:r>
          <w:rPr>
            <w:rFonts w:ascii="楷体" w:eastAsia="楷体" w:hAnsi="楷体"/>
          </w:rPr>
          <w:fldChar w:fldCharType="end"/>
        </w:r>
      </w:hyperlink>
    </w:p>
    <w:p w:rsidR="007F5F66" w:rsidRPr="008F1B68" w:rsidRDefault="00C318BD">
      <w:pPr>
        <w:pStyle w:val="TOC2"/>
        <w:tabs>
          <w:tab w:val="right" w:leader="dot" w:pos="8296"/>
        </w:tabs>
        <w:spacing w:line="300" w:lineRule="auto"/>
        <w:rPr>
          <w:rFonts w:ascii="楷体" w:eastAsia="楷体" w:hAnsi="楷体" w:cs="Times New Roman"/>
        </w:rPr>
      </w:pPr>
      <w:hyperlink w:anchor="_Toc96439411" w:history="1">
        <w:r w:rsidR="008F1B68">
          <w:rPr>
            <w:rStyle w:val="ad"/>
            <w:rFonts w:ascii="楷体" w:eastAsia="楷体" w:hAnsi="楷体" w:hint="eastAsia"/>
          </w:rPr>
          <w:t>一、规划基础</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_Toc96439411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12" w:history="1">
        <w:r w:rsidR="008F1B68">
          <w:rPr>
            <w:rStyle w:val="ad"/>
            <w:rFonts w:ascii="楷体" w:eastAsia="楷体" w:hAnsi="楷体" w:hint="eastAsia"/>
          </w:rPr>
          <w:t>（一）建设成效</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_Toc96439412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13" w:history="1">
        <w:r w:rsidR="008F1B68">
          <w:rPr>
            <w:rStyle w:val="ad"/>
            <w:rFonts w:ascii="楷体" w:eastAsia="楷体" w:hAnsi="楷体" w:hint="eastAsia"/>
          </w:rPr>
          <w:t>（二）困难与问题</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_Toc96439413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- 5 -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14" w:history="1">
        <w:r w:rsidR="008F1B68">
          <w:rPr>
            <w:rStyle w:val="ad"/>
            <w:rFonts w:ascii="楷体" w:eastAsia="楷体" w:hAnsi="楷体" w:hint="eastAsia"/>
          </w:rPr>
          <w:t>（三）发展机遇</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_Toc96439414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- 6 -</w:t>
        </w:r>
        <w:r w:rsidR="008F1B68">
          <w:rPr>
            <w:rFonts w:ascii="楷体" w:eastAsia="楷体" w:hAnsi="楷体"/>
          </w:rPr>
          <w:fldChar w:fldCharType="end"/>
        </w:r>
      </w:hyperlink>
    </w:p>
    <w:p w:rsidR="007F5F66" w:rsidRPr="008F1B68" w:rsidRDefault="00C318BD">
      <w:pPr>
        <w:pStyle w:val="TOC2"/>
        <w:tabs>
          <w:tab w:val="right" w:leader="dot" w:pos="8296"/>
        </w:tabs>
        <w:spacing w:line="300" w:lineRule="auto"/>
        <w:rPr>
          <w:rFonts w:ascii="楷体" w:eastAsia="楷体" w:hAnsi="楷体" w:cs="Times New Roman"/>
        </w:rPr>
      </w:pPr>
      <w:hyperlink w:anchor="_Toc96439415" w:history="1">
        <w:r w:rsidR="008F1B68">
          <w:rPr>
            <w:rStyle w:val="ad"/>
            <w:rFonts w:ascii="楷体" w:eastAsia="楷体" w:hAnsi="楷体" w:hint="eastAsia"/>
          </w:rPr>
          <w:t>二、总体思路</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_Toc96439415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- 9 -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16" w:history="1">
        <w:r w:rsidR="008F1B68">
          <w:rPr>
            <w:rStyle w:val="ad"/>
            <w:rFonts w:ascii="楷体" w:eastAsia="楷体" w:hAnsi="楷体" w:hint="eastAsia"/>
          </w:rPr>
          <w:t>（一）指导思想</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_Toc96439416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- 9 -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17" w:history="1">
        <w:r w:rsidR="008F1B68">
          <w:rPr>
            <w:rStyle w:val="ad"/>
            <w:rFonts w:ascii="楷体" w:eastAsia="楷体" w:hAnsi="楷体" w:hint="eastAsia"/>
          </w:rPr>
          <w:t>（二）基本原则</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_Toc96439417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- 9 -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18" w:history="1">
        <w:r w:rsidR="008F1B68">
          <w:rPr>
            <w:rStyle w:val="ad"/>
            <w:rFonts w:ascii="楷体" w:eastAsia="楷体" w:hAnsi="楷体" w:hint="eastAsia"/>
          </w:rPr>
          <w:t>（三）目标和任务</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_Toc96439418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- 11 -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19" w:history="1">
        <w:r w:rsidR="008F1B68">
          <w:rPr>
            <w:rStyle w:val="ad"/>
            <w:rFonts w:ascii="楷体" w:eastAsia="楷体" w:hAnsi="楷体" w:hint="eastAsia"/>
          </w:rPr>
          <w:t>（四）项目类型及选址要求</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_Toc96439419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- 12 -</w:t>
        </w:r>
        <w:r w:rsidR="008F1B68">
          <w:rPr>
            <w:rFonts w:ascii="楷体" w:eastAsia="楷体" w:hAnsi="楷体"/>
          </w:rPr>
          <w:fldChar w:fldCharType="end"/>
        </w:r>
      </w:hyperlink>
    </w:p>
    <w:p w:rsidR="007F5F66" w:rsidRPr="008F1B68" w:rsidRDefault="00C318BD">
      <w:pPr>
        <w:pStyle w:val="TOC2"/>
        <w:tabs>
          <w:tab w:val="right" w:leader="dot" w:pos="8296"/>
        </w:tabs>
        <w:spacing w:line="300" w:lineRule="auto"/>
        <w:rPr>
          <w:rFonts w:ascii="楷体" w:eastAsia="楷体" w:hAnsi="楷体" w:cs="Times New Roman"/>
        </w:rPr>
      </w:pPr>
      <w:hyperlink w:anchor="_Toc96439420" w:history="1">
        <w:r w:rsidR="008F1B68">
          <w:rPr>
            <w:rStyle w:val="ad"/>
            <w:rFonts w:ascii="楷体" w:eastAsia="楷体" w:hAnsi="楷体" w:hint="eastAsia"/>
          </w:rPr>
          <w:t>三、建设布局及规模</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_Toc96439420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- 15 -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21" w:history="1">
        <w:r w:rsidR="008F1B68">
          <w:rPr>
            <w:rStyle w:val="ad"/>
            <w:rFonts w:ascii="楷体" w:eastAsia="楷体" w:hAnsi="楷体" w:hint="eastAsia"/>
          </w:rPr>
          <w:t>（一）空间布局</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_Toc96439421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- 16 -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22" w:history="1">
        <w:r w:rsidR="008F1B68">
          <w:rPr>
            <w:rStyle w:val="ad"/>
            <w:rFonts w:ascii="楷体" w:eastAsia="楷体" w:hAnsi="楷体" w:hint="eastAsia"/>
          </w:rPr>
          <w:t>（二）建设规模</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_Toc96439422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- 18 -</w:t>
        </w:r>
        <w:r w:rsidR="008F1B68">
          <w:rPr>
            <w:rFonts w:ascii="楷体" w:eastAsia="楷体" w:hAnsi="楷体"/>
          </w:rPr>
          <w:fldChar w:fldCharType="end"/>
        </w:r>
      </w:hyperlink>
    </w:p>
    <w:p w:rsidR="007F5F66" w:rsidRPr="008F1B68" w:rsidRDefault="00C318BD">
      <w:pPr>
        <w:pStyle w:val="TOC2"/>
        <w:tabs>
          <w:tab w:val="right" w:leader="dot" w:pos="8296"/>
        </w:tabs>
        <w:spacing w:line="300" w:lineRule="auto"/>
        <w:rPr>
          <w:rFonts w:ascii="楷体" w:eastAsia="楷体" w:hAnsi="楷体" w:cs="Times New Roman"/>
        </w:rPr>
      </w:pPr>
      <w:hyperlink w:anchor="_Toc96439423" w:history="1">
        <w:r w:rsidR="008F1B68">
          <w:rPr>
            <w:rStyle w:val="ad"/>
            <w:rFonts w:ascii="楷体" w:eastAsia="楷体" w:hAnsi="楷体" w:hint="eastAsia"/>
          </w:rPr>
          <w:t>四、建设内容和标准</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_Toc96439423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- 22 -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24" w:history="1">
        <w:r w:rsidR="008F1B68">
          <w:rPr>
            <w:rStyle w:val="ad"/>
            <w:rFonts w:ascii="楷体" w:eastAsia="楷体" w:hAnsi="楷体" w:hint="eastAsia"/>
          </w:rPr>
          <w:t>（一）田块整治</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_Toc96439424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- 22 -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25" w:history="1">
        <w:r w:rsidR="008F1B68">
          <w:rPr>
            <w:rStyle w:val="ad"/>
            <w:rFonts w:ascii="楷体" w:eastAsia="楷体" w:hAnsi="楷体" w:hint="eastAsia"/>
          </w:rPr>
          <w:t>（二）土壤改良</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_Toc96439425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- 23 -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26" w:history="1">
        <w:r w:rsidR="008F1B68">
          <w:rPr>
            <w:rStyle w:val="ad"/>
            <w:rFonts w:ascii="楷体" w:eastAsia="楷体" w:hAnsi="楷体" w:hint="eastAsia"/>
          </w:rPr>
          <w:t>（三）灌排设施</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_Toc96439426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- 23 -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27" w:history="1">
        <w:r w:rsidR="008F1B68">
          <w:rPr>
            <w:rStyle w:val="ad"/>
            <w:rFonts w:ascii="楷体" w:eastAsia="楷体" w:hAnsi="楷体" w:hint="eastAsia"/>
          </w:rPr>
          <w:t>（四）田间道路</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_Toc96439427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- 24 -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28" w:history="1">
        <w:r w:rsidR="008F1B68">
          <w:rPr>
            <w:rStyle w:val="ad"/>
            <w:rFonts w:ascii="楷体" w:eastAsia="楷体" w:hAnsi="楷体" w:hint="eastAsia"/>
          </w:rPr>
          <w:t>（五）科技服务</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_Toc96439428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- 24 -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29" w:history="1">
        <w:r w:rsidR="008F1B68">
          <w:rPr>
            <w:rStyle w:val="ad"/>
            <w:rFonts w:ascii="楷体" w:eastAsia="楷体" w:hAnsi="楷体" w:hint="eastAsia"/>
          </w:rPr>
          <w:t>（六）生态防护</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_Toc96439429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- 25 -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30" w:history="1">
        <w:r w:rsidR="008F1B68">
          <w:rPr>
            <w:rStyle w:val="ad"/>
            <w:rFonts w:ascii="楷体" w:eastAsia="楷体" w:hAnsi="楷体" w:hint="eastAsia"/>
          </w:rPr>
          <w:t>（七）农田输配电</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_Toc96439430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- 25 -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31" w:history="1">
        <w:r w:rsidR="008F1B68">
          <w:rPr>
            <w:rStyle w:val="ad"/>
            <w:rFonts w:ascii="楷体" w:eastAsia="楷体" w:hAnsi="楷体" w:hint="eastAsia"/>
          </w:rPr>
          <w:t>（八）管护利用</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_Toc96439431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- 26 -</w:t>
        </w:r>
        <w:r w:rsidR="008F1B68">
          <w:rPr>
            <w:rFonts w:ascii="楷体" w:eastAsia="楷体" w:hAnsi="楷体"/>
          </w:rPr>
          <w:fldChar w:fldCharType="end"/>
        </w:r>
      </w:hyperlink>
    </w:p>
    <w:p w:rsidR="007F5F66" w:rsidRPr="008F1B68" w:rsidRDefault="00C318BD">
      <w:pPr>
        <w:pStyle w:val="TOC2"/>
        <w:tabs>
          <w:tab w:val="right" w:leader="dot" w:pos="8296"/>
        </w:tabs>
        <w:spacing w:line="300" w:lineRule="auto"/>
        <w:rPr>
          <w:rFonts w:ascii="楷体" w:eastAsia="楷体" w:hAnsi="楷体" w:cs="Times New Roman"/>
        </w:rPr>
      </w:pPr>
      <w:hyperlink w:anchor="_Toc96439432" w:history="1">
        <w:r w:rsidR="008F1B68">
          <w:rPr>
            <w:rStyle w:val="ad"/>
            <w:rFonts w:ascii="楷体" w:eastAsia="楷体" w:hAnsi="楷体" w:hint="eastAsia"/>
          </w:rPr>
          <w:t>五、项目规划</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_Toc96439432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- 27 -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33" w:history="1">
        <w:r w:rsidR="008F1B68">
          <w:rPr>
            <w:rStyle w:val="ad"/>
            <w:rFonts w:ascii="楷体" w:eastAsia="楷体" w:hAnsi="楷体" w:hint="eastAsia"/>
          </w:rPr>
          <w:t>（一）新建项目安排</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_Toc96439433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- 27 -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34" w:history="1">
        <w:r w:rsidR="008F1B68">
          <w:rPr>
            <w:rStyle w:val="ad"/>
            <w:rFonts w:ascii="楷体" w:eastAsia="楷体" w:hAnsi="楷体" w:hint="eastAsia"/>
          </w:rPr>
          <w:t>（二）改造提升项目安排</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_Toc96439434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- 29 -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35" w:history="1">
        <w:r w:rsidR="008F1B68">
          <w:rPr>
            <w:rStyle w:val="ad"/>
            <w:rFonts w:ascii="楷体" w:eastAsia="楷体" w:hAnsi="楷体" w:hint="eastAsia"/>
          </w:rPr>
          <w:t>（三）重点工程项目</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_Toc96439435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- 30 -</w:t>
        </w:r>
        <w:r w:rsidR="008F1B68">
          <w:rPr>
            <w:rFonts w:ascii="楷体" w:eastAsia="楷体" w:hAnsi="楷体"/>
          </w:rPr>
          <w:fldChar w:fldCharType="end"/>
        </w:r>
      </w:hyperlink>
    </w:p>
    <w:p w:rsidR="007F5F66" w:rsidRPr="008F1B68" w:rsidRDefault="00C318BD">
      <w:pPr>
        <w:pStyle w:val="TOC2"/>
        <w:tabs>
          <w:tab w:val="right" w:leader="dot" w:pos="8296"/>
        </w:tabs>
        <w:spacing w:line="300" w:lineRule="auto"/>
        <w:rPr>
          <w:rFonts w:ascii="楷体" w:eastAsia="楷体" w:hAnsi="楷体" w:cs="Times New Roman"/>
        </w:rPr>
      </w:pPr>
      <w:hyperlink w:anchor="_Toc96439436" w:history="1">
        <w:r w:rsidR="008F1B68">
          <w:rPr>
            <w:rStyle w:val="ad"/>
            <w:rFonts w:ascii="楷体" w:eastAsia="楷体" w:hAnsi="楷体" w:hint="eastAsia"/>
          </w:rPr>
          <w:t>六、投资估算和效益分析</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_Toc96439436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- 34 -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37" w:history="1">
        <w:r w:rsidR="008F1B68">
          <w:rPr>
            <w:rStyle w:val="ad"/>
            <w:rFonts w:ascii="楷体" w:eastAsia="楷体" w:hAnsi="楷体" w:hint="eastAsia"/>
          </w:rPr>
          <w:t>（一）投资估算</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_Toc96439437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- 34 -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38" w:history="1">
        <w:r w:rsidR="008F1B68">
          <w:rPr>
            <w:rStyle w:val="ad"/>
            <w:rFonts w:ascii="楷体" w:eastAsia="楷体" w:hAnsi="楷体" w:hint="eastAsia"/>
          </w:rPr>
          <w:t>（二）效益分析</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_Toc96439438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- 35 -</w:t>
        </w:r>
        <w:r w:rsidR="008F1B68">
          <w:rPr>
            <w:rFonts w:ascii="楷体" w:eastAsia="楷体" w:hAnsi="楷体"/>
          </w:rPr>
          <w:fldChar w:fldCharType="end"/>
        </w:r>
      </w:hyperlink>
    </w:p>
    <w:p w:rsidR="007F5F66" w:rsidRPr="008F1B68" w:rsidRDefault="00C318BD">
      <w:pPr>
        <w:pStyle w:val="TOC2"/>
        <w:tabs>
          <w:tab w:val="right" w:leader="dot" w:pos="8296"/>
        </w:tabs>
        <w:spacing w:line="300" w:lineRule="auto"/>
        <w:rPr>
          <w:rFonts w:ascii="楷体" w:eastAsia="楷体" w:hAnsi="楷体" w:cs="Times New Roman"/>
        </w:rPr>
      </w:pPr>
      <w:hyperlink w:anchor="_Toc96439439" w:history="1">
        <w:r w:rsidR="008F1B68">
          <w:rPr>
            <w:rStyle w:val="ad"/>
            <w:rFonts w:ascii="楷体" w:eastAsia="楷体" w:hAnsi="楷体" w:hint="eastAsia"/>
          </w:rPr>
          <w:t>七、建设监管及建后管护</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_Toc96439439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- 37 -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40" w:history="1">
        <w:r w:rsidR="008F1B68">
          <w:rPr>
            <w:rStyle w:val="ad"/>
            <w:rFonts w:ascii="楷体" w:eastAsia="楷体" w:hAnsi="楷体" w:hint="eastAsia"/>
          </w:rPr>
          <w:t>（一）明确职责分工</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_Toc96439440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- 37 -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41" w:history="1">
        <w:r w:rsidR="008F1B68">
          <w:rPr>
            <w:rStyle w:val="ad"/>
            <w:rFonts w:ascii="楷体" w:eastAsia="楷体" w:hAnsi="楷体" w:hint="eastAsia"/>
          </w:rPr>
          <w:t>（二）强化质量管理</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_Toc96439441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- 37 -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42" w:history="1">
        <w:r w:rsidR="008F1B68">
          <w:rPr>
            <w:rStyle w:val="ad"/>
            <w:rFonts w:ascii="楷体" w:eastAsia="楷体" w:hAnsi="楷体" w:hint="eastAsia"/>
          </w:rPr>
          <w:t>（三）规范竣工验收</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_Toc96439442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- 38 -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43" w:history="1">
        <w:r w:rsidR="008F1B68">
          <w:rPr>
            <w:rStyle w:val="ad"/>
            <w:rFonts w:ascii="楷体" w:eastAsia="楷体" w:hAnsi="楷体" w:hint="eastAsia"/>
          </w:rPr>
          <w:t>（四）加强后续管护</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_Toc96439443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- 38 -</w:t>
        </w:r>
        <w:r w:rsidR="008F1B68">
          <w:rPr>
            <w:rFonts w:ascii="楷体" w:eastAsia="楷体" w:hAnsi="楷体"/>
          </w:rPr>
          <w:fldChar w:fldCharType="end"/>
        </w:r>
      </w:hyperlink>
    </w:p>
    <w:p w:rsidR="007F5F66" w:rsidRPr="008F1B68" w:rsidRDefault="00C318BD">
      <w:pPr>
        <w:pStyle w:val="TOC2"/>
        <w:tabs>
          <w:tab w:val="right" w:leader="dot" w:pos="8296"/>
        </w:tabs>
        <w:spacing w:line="300" w:lineRule="auto"/>
        <w:rPr>
          <w:rFonts w:ascii="楷体" w:eastAsia="楷体" w:hAnsi="楷体" w:cs="Times New Roman"/>
        </w:rPr>
      </w:pPr>
      <w:hyperlink w:anchor="_Toc96439444" w:history="1">
        <w:r w:rsidR="008F1B68">
          <w:rPr>
            <w:rStyle w:val="ad"/>
            <w:rFonts w:ascii="楷体" w:eastAsia="楷体" w:hAnsi="楷体" w:hint="eastAsia"/>
          </w:rPr>
          <w:t>八、水资源与环境分析</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_Toc96439444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- 40 -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45" w:history="1">
        <w:r w:rsidR="008F1B68">
          <w:rPr>
            <w:rStyle w:val="ad"/>
            <w:rFonts w:ascii="楷体" w:eastAsia="楷体" w:hAnsi="楷体" w:hint="eastAsia"/>
          </w:rPr>
          <w:t>（一）水资源供需分析</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_Toc96439445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- 40 -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46" w:history="1">
        <w:r w:rsidR="008F1B68">
          <w:rPr>
            <w:rStyle w:val="ad"/>
            <w:rFonts w:ascii="楷体" w:eastAsia="楷体" w:hAnsi="楷体" w:hint="eastAsia"/>
          </w:rPr>
          <w:t>（二）环境影响分析</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_Toc96439446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- 41 -</w:t>
        </w:r>
        <w:r w:rsidR="008F1B68">
          <w:rPr>
            <w:rFonts w:ascii="楷体" w:eastAsia="楷体" w:hAnsi="楷体"/>
          </w:rPr>
          <w:fldChar w:fldCharType="end"/>
        </w:r>
      </w:hyperlink>
    </w:p>
    <w:p w:rsidR="007F5F66" w:rsidRPr="008F1B68" w:rsidRDefault="00C318BD">
      <w:pPr>
        <w:pStyle w:val="TOC2"/>
        <w:tabs>
          <w:tab w:val="right" w:leader="dot" w:pos="8296"/>
        </w:tabs>
        <w:spacing w:line="300" w:lineRule="auto"/>
        <w:rPr>
          <w:rFonts w:ascii="楷体" w:eastAsia="楷体" w:hAnsi="楷体" w:cs="Times New Roman"/>
        </w:rPr>
      </w:pPr>
      <w:hyperlink w:anchor="_Toc96439447" w:history="1">
        <w:r w:rsidR="008F1B68">
          <w:rPr>
            <w:rStyle w:val="ad"/>
            <w:rFonts w:ascii="楷体" w:eastAsia="楷体" w:hAnsi="楷体" w:hint="eastAsia"/>
          </w:rPr>
          <w:t>九、保障措施</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_Toc96439447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- 43 -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48" w:history="1">
        <w:r w:rsidR="008F1B68">
          <w:rPr>
            <w:rStyle w:val="ad"/>
            <w:rFonts w:ascii="楷体" w:eastAsia="楷体" w:hAnsi="楷体" w:hint="eastAsia"/>
          </w:rPr>
          <w:t>（一）加强组织领导</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_Toc96439448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- 43 -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49" w:history="1">
        <w:r w:rsidR="008F1B68">
          <w:rPr>
            <w:rStyle w:val="ad"/>
            <w:rFonts w:ascii="楷体" w:eastAsia="楷体" w:hAnsi="楷体" w:hint="eastAsia"/>
          </w:rPr>
          <w:t>（二）强化规划衔接</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_Toc96439449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- 43 -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50" w:history="1">
        <w:r w:rsidR="008F1B68">
          <w:rPr>
            <w:rStyle w:val="ad"/>
            <w:rFonts w:ascii="楷体" w:eastAsia="楷体" w:hAnsi="楷体" w:hint="eastAsia"/>
          </w:rPr>
          <w:t>（三）加强资金保障</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_Toc96439450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- 44 -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51" w:history="1">
        <w:r w:rsidR="008F1B68">
          <w:rPr>
            <w:rStyle w:val="ad"/>
            <w:rFonts w:ascii="楷体" w:eastAsia="楷体" w:hAnsi="楷体" w:hint="eastAsia"/>
          </w:rPr>
          <w:t>（四）加强行业管理</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_Toc96439451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- 44 -</w:t>
        </w:r>
        <w:r w:rsidR="008F1B68">
          <w:rPr>
            <w:rFonts w:ascii="楷体" w:eastAsia="楷体" w:hAnsi="楷体"/>
          </w:rPr>
          <w:fldChar w:fldCharType="end"/>
        </w:r>
      </w:hyperlink>
    </w:p>
    <w:p w:rsidR="007F5F66" w:rsidRPr="008F1B68" w:rsidRDefault="00C318BD">
      <w:pPr>
        <w:pStyle w:val="TOC3"/>
        <w:tabs>
          <w:tab w:val="right" w:leader="dot" w:pos="8296"/>
        </w:tabs>
        <w:spacing w:line="300" w:lineRule="auto"/>
        <w:rPr>
          <w:rFonts w:ascii="楷体" w:eastAsia="楷体" w:hAnsi="楷体" w:cs="Times New Roman"/>
        </w:rPr>
      </w:pPr>
      <w:hyperlink w:anchor="_Toc96439452" w:history="1">
        <w:r w:rsidR="008F1B68">
          <w:rPr>
            <w:rStyle w:val="ad"/>
            <w:rFonts w:ascii="楷体" w:eastAsia="楷体" w:hAnsi="楷体" w:hint="eastAsia"/>
          </w:rPr>
          <w:t>（五）加强队伍建设</w:t>
        </w:r>
        <w:r w:rsidR="008F1B68">
          <w:rPr>
            <w:rFonts w:ascii="楷体" w:eastAsia="楷体" w:hAnsi="楷体"/>
          </w:rPr>
          <w:tab/>
        </w:r>
        <w:r w:rsidR="008F1B68">
          <w:rPr>
            <w:rFonts w:ascii="楷体" w:eastAsia="楷体" w:hAnsi="楷体"/>
          </w:rPr>
          <w:fldChar w:fldCharType="begin"/>
        </w:r>
        <w:r w:rsidR="008F1B68">
          <w:rPr>
            <w:rFonts w:ascii="楷体" w:eastAsia="楷体" w:hAnsi="楷体"/>
          </w:rPr>
          <w:instrText xml:space="preserve"> PAGEREF _Toc96439452 \h </w:instrText>
        </w:r>
        <w:r w:rsidR="008F1B68">
          <w:rPr>
            <w:rFonts w:ascii="楷体" w:eastAsia="楷体" w:hAnsi="楷体"/>
          </w:rPr>
        </w:r>
        <w:r w:rsidR="008F1B68">
          <w:rPr>
            <w:rFonts w:ascii="楷体" w:eastAsia="楷体" w:hAnsi="楷体"/>
          </w:rPr>
          <w:fldChar w:fldCharType="separate"/>
        </w:r>
        <w:r w:rsidR="008F1B68">
          <w:rPr>
            <w:rFonts w:ascii="楷体" w:eastAsia="楷体" w:hAnsi="楷体"/>
          </w:rPr>
          <w:t>- 44 -</w:t>
        </w:r>
        <w:r w:rsidR="008F1B68">
          <w:rPr>
            <w:rFonts w:ascii="楷体" w:eastAsia="楷体" w:hAnsi="楷体"/>
          </w:rPr>
          <w:fldChar w:fldCharType="end"/>
        </w:r>
      </w:hyperlink>
    </w:p>
    <w:p w:rsidR="007F5F66" w:rsidRDefault="008F1B68">
      <w:pPr>
        <w:pStyle w:val="TOC2"/>
        <w:tabs>
          <w:tab w:val="right" w:leader="dot" w:pos="8296"/>
        </w:tabs>
        <w:spacing w:line="300" w:lineRule="auto"/>
        <w:rPr>
          <w:rFonts w:ascii="楷体" w:eastAsia="楷体" w:hAnsi="楷体"/>
          <w:sz w:val="24"/>
          <w:szCs w:val="24"/>
        </w:rPr>
      </w:pPr>
      <w:r>
        <w:rPr>
          <w:rStyle w:val="ad"/>
          <w:rFonts w:ascii="楷体" w:eastAsia="楷体" w:hAnsi="楷体"/>
        </w:rPr>
        <w:fldChar w:fldCharType="end"/>
      </w:r>
    </w:p>
    <w:p w:rsidR="007F5F66" w:rsidRDefault="008F1B68">
      <w:pPr>
        <w:pStyle w:val="E"/>
        <w:spacing w:beforeLines="0" w:afterLines="0"/>
        <w:ind w:firstLine="560"/>
        <w:jc w:val="center"/>
        <w:rPr>
          <w:rFonts w:ascii="楷体" w:eastAsia="楷体" w:hAnsi="楷体"/>
        </w:rPr>
      </w:pPr>
      <w:r>
        <w:rPr>
          <w:rFonts w:ascii="楷体" w:eastAsia="楷体" w:hAnsi="楷体" w:hint="eastAsia"/>
        </w:rPr>
        <w:t>图表目录</w:t>
      </w:r>
    </w:p>
    <w:p w:rsidR="007F5F66" w:rsidRDefault="008F1B68">
      <w:pPr>
        <w:pStyle w:val="TOC3"/>
        <w:tabs>
          <w:tab w:val="right" w:leader="dot" w:pos="8296"/>
        </w:tabs>
        <w:spacing w:line="300" w:lineRule="auto"/>
        <w:rPr>
          <w:rStyle w:val="ad"/>
          <w:rFonts w:ascii="楷体" w:eastAsia="楷体" w:hAnsi="楷体"/>
        </w:rPr>
      </w:pPr>
      <w:r>
        <w:rPr>
          <w:rStyle w:val="ad"/>
          <w:rFonts w:ascii="楷体" w:eastAsia="楷体" w:hAnsi="楷体"/>
        </w:rPr>
        <w:fldChar w:fldCharType="begin"/>
      </w:r>
      <w:r>
        <w:rPr>
          <w:rStyle w:val="ad"/>
          <w:rFonts w:ascii="楷体" w:eastAsia="楷体" w:hAnsi="楷体"/>
        </w:rPr>
        <w:instrText xml:space="preserve"> TOC \h \z \t "标题 1,1,标题 2,2,标题 3,3,F2大表头,2,样式 样式 标题 2 + 首行缩进:  2 字符 + 首行缩进:  2 字符,2" </w:instrText>
      </w:r>
      <w:r>
        <w:rPr>
          <w:rStyle w:val="ad"/>
          <w:rFonts w:ascii="楷体" w:eastAsia="楷体" w:hAnsi="楷体"/>
        </w:rPr>
        <w:fldChar w:fldCharType="separate"/>
      </w:r>
      <w:hyperlink w:anchor="_Toc96791001" w:history="1">
        <w:r>
          <w:rPr>
            <w:rStyle w:val="ad"/>
            <w:rFonts w:ascii="楷体" w:eastAsia="楷体" w:hAnsi="楷体" w:hint="eastAsia"/>
          </w:rPr>
          <w:t>表</w:t>
        </w:r>
        <w:r>
          <w:rPr>
            <w:rStyle w:val="ad"/>
            <w:rFonts w:ascii="楷体" w:eastAsia="楷体" w:hAnsi="楷体"/>
          </w:rPr>
          <w:t>1-1</w:t>
        </w:r>
        <w:r>
          <w:rPr>
            <w:rStyle w:val="ad"/>
            <w:rFonts w:ascii="楷体" w:eastAsia="楷体" w:hAnsi="楷体" w:hint="eastAsia"/>
          </w:rPr>
          <w:t>高标准农田、粮食生产功能区建设情况</w:t>
        </w:r>
        <w:r>
          <w:rPr>
            <w:rStyle w:val="ad"/>
            <w:rFonts w:ascii="楷体" w:eastAsia="楷体" w:hAnsi="楷体"/>
          </w:rPr>
          <w:tab/>
        </w:r>
        <w:r>
          <w:rPr>
            <w:rStyle w:val="ad"/>
            <w:rFonts w:ascii="楷体" w:eastAsia="楷体" w:hAnsi="楷体"/>
          </w:rPr>
          <w:fldChar w:fldCharType="begin"/>
        </w:r>
        <w:r>
          <w:rPr>
            <w:rStyle w:val="ad"/>
            <w:rFonts w:ascii="楷体" w:eastAsia="楷体" w:hAnsi="楷体"/>
          </w:rPr>
          <w:instrText xml:space="preserve"> PAGEREF _Toc96791001 \h </w:instrText>
        </w:r>
        <w:r>
          <w:rPr>
            <w:rStyle w:val="ad"/>
            <w:rFonts w:ascii="楷体" w:eastAsia="楷体" w:hAnsi="楷体"/>
          </w:rPr>
        </w:r>
        <w:r>
          <w:rPr>
            <w:rStyle w:val="ad"/>
            <w:rFonts w:ascii="楷体" w:eastAsia="楷体" w:hAnsi="楷体"/>
          </w:rPr>
          <w:fldChar w:fldCharType="separate"/>
        </w:r>
        <w:r>
          <w:rPr>
            <w:rStyle w:val="ad"/>
            <w:rFonts w:ascii="楷体" w:eastAsia="楷体" w:hAnsi="楷体"/>
          </w:rPr>
          <w:t>- 2 -</w:t>
        </w:r>
        <w:r>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02" w:history="1">
        <w:r w:rsidR="008F1B68">
          <w:rPr>
            <w:rStyle w:val="ad"/>
            <w:rFonts w:ascii="楷体" w:eastAsia="楷体" w:hAnsi="楷体" w:hint="eastAsia"/>
          </w:rPr>
          <w:t>表</w:t>
        </w:r>
        <w:r w:rsidR="008F1B68">
          <w:rPr>
            <w:rStyle w:val="ad"/>
            <w:rFonts w:ascii="楷体" w:eastAsia="楷体" w:hAnsi="楷体"/>
          </w:rPr>
          <w:t>1-2</w:t>
        </w:r>
        <w:r w:rsidR="008F1B68">
          <w:rPr>
            <w:rStyle w:val="ad"/>
            <w:rFonts w:ascii="楷体" w:eastAsia="楷体" w:hAnsi="楷体" w:hint="eastAsia"/>
          </w:rPr>
          <w:t>耕地质量等级情况</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_Toc96791002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- 4 -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03" w:history="1">
        <w:r w:rsidR="008F1B68">
          <w:rPr>
            <w:rStyle w:val="ad"/>
            <w:rFonts w:ascii="楷体" w:eastAsia="楷体" w:hAnsi="楷体" w:hint="eastAsia"/>
          </w:rPr>
          <w:t>图</w:t>
        </w:r>
        <w:r w:rsidR="008F1B68">
          <w:rPr>
            <w:rStyle w:val="ad"/>
            <w:rFonts w:ascii="楷体" w:eastAsia="楷体" w:hAnsi="楷体"/>
          </w:rPr>
          <w:t>1-1</w:t>
        </w:r>
        <w:r w:rsidR="008F1B68">
          <w:rPr>
            <w:rStyle w:val="ad"/>
            <w:rFonts w:ascii="楷体" w:eastAsia="楷体" w:hAnsi="楷体" w:hint="eastAsia"/>
          </w:rPr>
          <w:t>嵊州市耕地质量等级图</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_Toc96791003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- 4 -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04" w:history="1">
        <w:r w:rsidR="008F1B68">
          <w:rPr>
            <w:rStyle w:val="ad"/>
            <w:rFonts w:ascii="楷体" w:eastAsia="楷体" w:hAnsi="楷体" w:hint="eastAsia"/>
          </w:rPr>
          <w:t>表</w:t>
        </w:r>
        <w:r w:rsidR="008F1B68">
          <w:rPr>
            <w:rStyle w:val="ad"/>
            <w:rFonts w:ascii="楷体" w:eastAsia="楷体" w:hAnsi="楷体"/>
          </w:rPr>
          <w:t xml:space="preserve">2-1 </w:t>
        </w:r>
        <w:r w:rsidR="008F1B68">
          <w:rPr>
            <w:rStyle w:val="ad"/>
            <w:rFonts w:ascii="楷体" w:eastAsia="楷体" w:hAnsi="楷体" w:hint="eastAsia"/>
          </w:rPr>
          <w:t>嵊州市</w:t>
        </w:r>
        <w:r w:rsidR="008F1B68">
          <w:rPr>
            <w:rStyle w:val="ad"/>
            <w:rFonts w:ascii="楷体" w:eastAsia="楷体" w:hAnsi="楷体"/>
          </w:rPr>
          <w:t>“</w:t>
        </w:r>
        <w:r w:rsidR="008F1B68">
          <w:rPr>
            <w:rStyle w:val="ad"/>
            <w:rFonts w:ascii="楷体" w:eastAsia="楷体" w:hAnsi="楷体" w:hint="eastAsia"/>
          </w:rPr>
          <w:t>十四五</w:t>
        </w:r>
        <w:r w:rsidR="008F1B68">
          <w:rPr>
            <w:rStyle w:val="ad"/>
            <w:rFonts w:ascii="楷体" w:eastAsia="楷体" w:hAnsi="楷体"/>
          </w:rPr>
          <w:t>”</w:t>
        </w:r>
        <w:r w:rsidR="008F1B68">
          <w:rPr>
            <w:rStyle w:val="ad"/>
            <w:rFonts w:ascii="楷体" w:eastAsia="楷体" w:hAnsi="楷体" w:hint="eastAsia"/>
          </w:rPr>
          <w:t>高标准农田建设指标表</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_Toc96791004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- 11 -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05" w:history="1">
        <w:r w:rsidR="008F1B68">
          <w:rPr>
            <w:rStyle w:val="ad"/>
            <w:rFonts w:ascii="楷体" w:eastAsia="楷体" w:hAnsi="楷体" w:hint="eastAsia"/>
          </w:rPr>
          <w:t>图</w:t>
        </w:r>
        <w:r w:rsidR="008F1B68">
          <w:rPr>
            <w:rStyle w:val="ad"/>
            <w:rFonts w:ascii="楷体" w:eastAsia="楷体" w:hAnsi="楷体"/>
          </w:rPr>
          <w:t>3-1</w:t>
        </w:r>
        <w:r w:rsidR="008F1B68">
          <w:rPr>
            <w:rStyle w:val="ad"/>
            <w:rFonts w:ascii="楷体" w:eastAsia="楷体" w:hAnsi="楷体" w:hint="eastAsia"/>
          </w:rPr>
          <w:t>嵊州市地形图</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_Toc96791005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- 15 -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06" w:history="1">
        <w:r w:rsidR="008F1B68">
          <w:rPr>
            <w:rStyle w:val="ad"/>
            <w:rFonts w:ascii="楷体" w:eastAsia="楷体" w:hAnsi="楷体" w:hint="eastAsia"/>
          </w:rPr>
          <w:t>表</w:t>
        </w:r>
        <w:r w:rsidR="008F1B68">
          <w:rPr>
            <w:rStyle w:val="ad"/>
            <w:rFonts w:ascii="楷体" w:eastAsia="楷体" w:hAnsi="楷体"/>
          </w:rPr>
          <w:t>3-1</w:t>
        </w:r>
        <w:r w:rsidR="008F1B68">
          <w:rPr>
            <w:rStyle w:val="ad"/>
            <w:rFonts w:ascii="楷体" w:eastAsia="楷体" w:hAnsi="楷体" w:hint="eastAsia"/>
          </w:rPr>
          <w:t>空间布局分区</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_Toc96791006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- 16 -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07" w:history="1">
        <w:r w:rsidR="008F1B68">
          <w:rPr>
            <w:rStyle w:val="ad"/>
            <w:rFonts w:ascii="楷体" w:eastAsia="楷体" w:hAnsi="楷体" w:hint="eastAsia"/>
          </w:rPr>
          <w:t>表</w:t>
        </w:r>
        <w:r w:rsidR="008F1B68">
          <w:rPr>
            <w:rStyle w:val="ad"/>
            <w:rFonts w:ascii="楷体" w:eastAsia="楷体" w:hAnsi="楷体"/>
          </w:rPr>
          <w:t>3-2</w:t>
        </w:r>
        <w:r w:rsidR="008F1B68">
          <w:rPr>
            <w:rStyle w:val="ad"/>
            <w:rFonts w:ascii="楷体" w:eastAsia="楷体" w:hAnsi="楷体" w:hint="eastAsia"/>
          </w:rPr>
          <w:t>嵊州市“十四五”时期高标准农田建成量分析</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_Toc96791007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- 19 -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08" w:history="1">
        <w:r w:rsidR="008F1B68">
          <w:rPr>
            <w:rStyle w:val="ad"/>
            <w:rFonts w:ascii="楷体" w:eastAsia="楷体" w:hAnsi="楷体" w:hint="eastAsia"/>
          </w:rPr>
          <w:t>表</w:t>
        </w:r>
        <w:r w:rsidR="008F1B68">
          <w:rPr>
            <w:rStyle w:val="ad"/>
            <w:rFonts w:ascii="楷体" w:eastAsia="楷体" w:hAnsi="楷体"/>
          </w:rPr>
          <w:t>3-3</w:t>
        </w:r>
        <w:r w:rsidR="008F1B68">
          <w:rPr>
            <w:rStyle w:val="ad"/>
            <w:rFonts w:ascii="楷体" w:eastAsia="楷体" w:hAnsi="楷体" w:hint="eastAsia"/>
          </w:rPr>
          <w:t>嵊州市“十四五”时期任务指标完成情况表</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_Toc96791008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- 19 -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09" w:history="1">
        <w:r w:rsidR="008F1B68">
          <w:rPr>
            <w:rStyle w:val="ad"/>
            <w:rFonts w:ascii="楷体" w:eastAsia="楷体" w:hAnsi="楷体" w:hint="eastAsia"/>
          </w:rPr>
          <w:t>表</w:t>
        </w:r>
        <w:r w:rsidR="008F1B68">
          <w:rPr>
            <w:rStyle w:val="ad"/>
            <w:rFonts w:ascii="楷体" w:eastAsia="楷体" w:hAnsi="楷体"/>
          </w:rPr>
          <w:t>3-4</w:t>
        </w:r>
        <w:r w:rsidR="008F1B68">
          <w:rPr>
            <w:rStyle w:val="ad"/>
            <w:rFonts w:ascii="楷体" w:eastAsia="楷体" w:hAnsi="楷体" w:hint="eastAsia"/>
          </w:rPr>
          <w:t>嵊州市各乡镇（街道）任务指标分解表</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_Toc96791009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- 20 -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10" w:history="1">
        <w:r w:rsidR="008F1B68">
          <w:rPr>
            <w:rStyle w:val="ad"/>
            <w:rFonts w:ascii="楷体" w:eastAsia="楷体" w:hAnsi="楷体" w:hint="eastAsia"/>
          </w:rPr>
          <w:t>表</w:t>
        </w:r>
        <w:r w:rsidR="008F1B68">
          <w:rPr>
            <w:rStyle w:val="ad"/>
            <w:rFonts w:ascii="楷体" w:eastAsia="楷体" w:hAnsi="楷体"/>
          </w:rPr>
          <w:t>5-1</w:t>
        </w:r>
        <w:r w:rsidR="008F1B68">
          <w:rPr>
            <w:rStyle w:val="ad"/>
            <w:rFonts w:ascii="楷体" w:eastAsia="楷体" w:hAnsi="楷体" w:hint="eastAsia"/>
          </w:rPr>
          <w:t>嵊州市</w:t>
        </w:r>
        <w:r w:rsidR="008F1B68">
          <w:rPr>
            <w:rStyle w:val="ad"/>
            <w:rFonts w:ascii="楷体" w:eastAsia="楷体" w:hAnsi="楷体"/>
          </w:rPr>
          <w:t>2021</w:t>
        </w:r>
        <w:r w:rsidR="008F1B68">
          <w:rPr>
            <w:rStyle w:val="ad"/>
            <w:rFonts w:ascii="楷体" w:eastAsia="楷体" w:hAnsi="楷体" w:hint="eastAsia"/>
          </w:rPr>
          <w:t>年高标准农田建设项目</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_Toc96791010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- 27 -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11" w:history="1">
        <w:r w:rsidR="008F1B68">
          <w:rPr>
            <w:rStyle w:val="ad"/>
            <w:rFonts w:ascii="楷体" w:eastAsia="楷体" w:hAnsi="楷体" w:hint="eastAsia"/>
          </w:rPr>
          <w:t>表</w:t>
        </w:r>
        <w:r w:rsidR="008F1B68">
          <w:rPr>
            <w:rStyle w:val="ad"/>
            <w:rFonts w:ascii="楷体" w:eastAsia="楷体" w:hAnsi="楷体"/>
          </w:rPr>
          <w:t>5-2</w:t>
        </w:r>
        <w:r w:rsidR="008F1B68">
          <w:rPr>
            <w:rStyle w:val="ad"/>
            <w:rFonts w:ascii="楷体" w:eastAsia="楷体" w:hAnsi="楷体" w:hint="eastAsia"/>
          </w:rPr>
          <w:t>嵊州市</w:t>
        </w:r>
        <w:r w:rsidR="008F1B68">
          <w:rPr>
            <w:rStyle w:val="ad"/>
            <w:rFonts w:ascii="楷体" w:eastAsia="楷体" w:hAnsi="楷体"/>
          </w:rPr>
          <w:t>2021</w:t>
        </w:r>
        <w:r w:rsidR="008F1B68">
          <w:rPr>
            <w:rStyle w:val="ad"/>
            <w:rFonts w:ascii="楷体" w:eastAsia="楷体" w:hAnsi="楷体" w:hint="eastAsia"/>
          </w:rPr>
          <w:t>～</w:t>
        </w:r>
        <w:r w:rsidR="008F1B68">
          <w:rPr>
            <w:rStyle w:val="ad"/>
            <w:rFonts w:ascii="楷体" w:eastAsia="楷体" w:hAnsi="楷体"/>
          </w:rPr>
          <w:t>2025</w:t>
        </w:r>
        <w:r w:rsidR="008F1B68">
          <w:rPr>
            <w:rStyle w:val="ad"/>
            <w:rFonts w:ascii="楷体" w:eastAsia="楷体" w:hAnsi="楷体" w:hint="eastAsia"/>
          </w:rPr>
          <w:t>年高标准农田改造提升项目</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_Toc96791011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- 30 -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12" w:history="1">
        <w:r w:rsidR="008F1B68">
          <w:rPr>
            <w:rStyle w:val="ad"/>
            <w:rFonts w:ascii="楷体" w:eastAsia="楷体" w:hAnsi="楷体" w:hint="eastAsia"/>
          </w:rPr>
          <w:t>表</w:t>
        </w:r>
        <w:r w:rsidR="008F1B68">
          <w:rPr>
            <w:rStyle w:val="ad"/>
            <w:rFonts w:ascii="楷体" w:eastAsia="楷体" w:hAnsi="楷体"/>
          </w:rPr>
          <w:t>5-3</w:t>
        </w:r>
        <w:r w:rsidR="008F1B68">
          <w:rPr>
            <w:rStyle w:val="ad"/>
            <w:rFonts w:ascii="楷体" w:eastAsia="楷体" w:hAnsi="楷体" w:hint="eastAsia"/>
          </w:rPr>
          <w:t>绿色农田示范项目</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_Toc96791012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- 31 -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13" w:history="1">
        <w:r w:rsidR="008F1B68">
          <w:rPr>
            <w:rStyle w:val="ad"/>
            <w:rFonts w:ascii="楷体" w:eastAsia="楷体" w:hAnsi="楷体" w:hint="eastAsia"/>
          </w:rPr>
          <w:t>表</w:t>
        </w:r>
        <w:r w:rsidR="008F1B68">
          <w:rPr>
            <w:rStyle w:val="ad"/>
            <w:rFonts w:ascii="楷体" w:eastAsia="楷体" w:hAnsi="楷体"/>
          </w:rPr>
          <w:t>6-1</w:t>
        </w:r>
        <w:r w:rsidR="008F1B68">
          <w:rPr>
            <w:rStyle w:val="ad"/>
            <w:rFonts w:ascii="楷体" w:eastAsia="楷体" w:hAnsi="楷体" w:hint="eastAsia"/>
          </w:rPr>
          <w:t>高标准农田建设分项目投资估算表</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_Toc96791013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- 34 -</w:t>
        </w:r>
        <w:r w:rsidR="008F1B68">
          <w:rPr>
            <w:rStyle w:val="ad"/>
            <w:rFonts w:ascii="楷体" w:eastAsia="楷体" w:hAnsi="楷体"/>
          </w:rPr>
          <w:fldChar w:fldCharType="end"/>
        </w:r>
      </w:hyperlink>
    </w:p>
    <w:p w:rsidR="007F5F66" w:rsidRDefault="00C318BD">
      <w:pPr>
        <w:pStyle w:val="TOC3"/>
        <w:tabs>
          <w:tab w:val="right" w:leader="dot" w:pos="8296"/>
        </w:tabs>
        <w:spacing w:line="300" w:lineRule="auto"/>
        <w:rPr>
          <w:rStyle w:val="ad"/>
          <w:rFonts w:ascii="楷体" w:eastAsia="楷体" w:hAnsi="楷体"/>
        </w:rPr>
      </w:pPr>
      <w:hyperlink w:anchor="_Toc96791014" w:history="1">
        <w:r w:rsidR="008F1B68">
          <w:rPr>
            <w:rStyle w:val="ad"/>
            <w:rFonts w:ascii="楷体" w:eastAsia="楷体" w:hAnsi="楷体" w:hint="eastAsia"/>
          </w:rPr>
          <w:t>表</w:t>
        </w:r>
        <w:r w:rsidR="008F1B68">
          <w:rPr>
            <w:rStyle w:val="ad"/>
            <w:rFonts w:ascii="楷体" w:eastAsia="楷体" w:hAnsi="楷体"/>
          </w:rPr>
          <w:t xml:space="preserve">6-2 </w:t>
        </w:r>
        <w:r w:rsidR="008F1B68">
          <w:rPr>
            <w:rStyle w:val="ad"/>
            <w:rFonts w:ascii="楷体" w:eastAsia="楷体" w:hAnsi="楷体" w:hint="eastAsia"/>
          </w:rPr>
          <w:t>高标准农田建设分年度投资估算表</w:t>
        </w:r>
        <w:r w:rsidR="008F1B68">
          <w:rPr>
            <w:rStyle w:val="ad"/>
            <w:rFonts w:ascii="楷体" w:eastAsia="楷体" w:hAnsi="楷体"/>
          </w:rPr>
          <w:tab/>
        </w:r>
        <w:r w:rsidR="008F1B68">
          <w:rPr>
            <w:rStyle w:val="ad"/>
            <w:rFonts w:ascii="楷体" w:eastAsia="楷体" w:hAnsi="楷体"/>
          </w:rPr>
          <w:fldChar w:fldCharType="begin"/>
        </w:r>
        <w:r w:rsidR="008F1B68">
          <w:rPr>
            <w:rStyle w:val="ad"/>
            <w:rFonts w:ascii="楷体" w:eastAsia="楷体" w:hAnsi="楷体"/>
          </w:rPr>
          <w:instrText xml:space="preserve"> PAGEREF _Toc96791014 \h </w:instrText>
        </w:r>
        <w:r w:rsidR="008F1B68">
          <w:rPr>
            <w:rStyle w:val="ad"/>
            <w:rFonts w:ascii="楷体" w:eastAsia="楷体" w:hAnsi="楷体"/>
          </w:rPr>
        </w:r>
        <w:r w:rsidR="008F1B68">
          <w:rPr>
            <w:rStyle w:val="ad"/>
            <w:rFonts w:ascii="楷体" w:eastAsia="楷体" w:hAnsi="楷体"/>
          </w:rPr>
          <w:fldChar w:fldCharType="separate"/>
        </w:r>
        <w:r w:rsidR="008F1B68">
          <w:rPr>
            <w:rStyle w:val="ad"/>
            <w:rFonts w:ascii="楷体" w:eastAsia="楷体" w:hAnsi="楷体"/>
          </w:rPr>
          <w:t>- 35 -</w:t>
        </w:r>
        <w:r w:rsidR="008F1B68">
          <w:rPr>
            <w:rStyle w:val="ad"/>
            <w:rFonts w:ascii="楷体" w:eastAsia="楷体" w:hAnsi="楷体"/>
          </w:rPr>
          <w:fldChar w:fldCharType="end"/>
        </w:r>
      </w:hyperlink>
    </w:p>
    <w:p w:rsidR="007F5F66" w:rsidRDefault="008F1B68">
      <w:pPr>
        <w:pStyle w:val="TOC3"/>
        <w:tabs>
          <w:tab w:val="right" w:leader="dot" w:pos="8296"/>
        </w:tabs>
        <w:spacing w:line="300" w:lineRule="auto"/>
        <w:rPr>
          <w:rStyle w:val="ad"/>
          <w:rFonts w:ascii="楷体" w:eastAsia="楷体" w:hAnsi="楷体"/>
          <w:color w:val="auto"/>
          <w:u w:val="none"/>
        </w:rPr>
      </w:pPr>
      <w:r>
        <w:rPr>
          <w:rStyle w:val="ad"/>
          <w:rFonts w:ascii="楷体" w:eastAsia="楷体" w:hAnsi="楷体"/>
        </w:rPr>
        <w:fldChar w:fldCharType="end"/>
      </w:r>
      <w:bookmarkStart w:id="0" w:name="_Toc93749880"/>
      <w:r>
        <w:rPr>
          <w:rStyle w:val="ad"/>
          <w:rFonts w:ascii="楷体" w:eastAsia="楷体" w:hAnsi="楷体" w:hint="eastAsia"/>
          <w:color w:val="auto"/>
          <w:u w:val="none"/>
        </w:rPr>
        <w:t>附图</w:t>
      </w:r>
      <w:bookmarkEnd w:id="0"/>
      <w:r>
        <w:rPr>
          <w:rStyle w:val="ad"/>
          <w:rFonts w:ascii="楷体" w:eastAsia="楷体" w:hAnsi="楷体" w:hint="eastAsia"/>
          <w:color w:val="auto"/>
          <w:u w:val="none"/>
        </w:rPr>
        <w:t>-1嵊州市“十四五”时期空间建设布局图</w:t>
      </w:r>
      <w:r>
        <w:rPr>
          <w:rStyle w:val="ad"/>
          <w:rFonts w:ascii="楷体" w:eastAsia="楷体" w:hAnsi="楷体"/>
          <w:color w:val="auto"/>
          <w:u w:val="none"/>
        </w:rPr>
        <w:tab/>
      </w:r>
      <w:r>
        <w:rPr>
          <w:rStyle w:val="ad"/>
          <w:rFonts w:ascii="楷体" w:eastAsia="楷体" w:hAnsi="楷体"/>
        </w:rPr>
        <w:fldChar w:fldCharType="begin"/>
      </w:r>
      <w:r>
        <w:rPr>
          <w:rStyle w:val="ad"/>
          <w:rFonts w:ascii="楷体" w:eastAsia="楷体" w:hAnsi="楷体"/>
        </w:rPr>
        <w:instrText xml:space="preserve"> PAGEREF _Toc96439505 \h </w:instrText>
      </w:r>
      <w:r>
        <w:rPr>
          <w:rStyle w:val="ad"/>
          <w:rFonts w:ascii="楷体" w:eastAsia="楷体" w:hAnsi="楷体"/>
        </w:rPr>
      </w:r>
      <w:r>
        <w:rPr>
          <w:rStyle w:val="ad"/>
          <w:rFonts w:ascii="楷体" w:eastAsia="楷体" w:hAnsi="楷体"/>
        </w:rPr>
        <w:fldChar w:fldCharType="separate"/>
      </w:r>
      <w:r>
        <w:rPr>
          <w:rStyle w:val="ad"/>
          <w:rFonts w:ascii="楷体" w:eastAsia="楷体" w:hAnsi="楷体"/>
        </w:rPr>
        <w:t xml:space="preserve">- </w:t>
      </w:r>
      <w:r>
        <w:rPr>
          <w:rStyle w:val="ad"/>
          <w:rFonts w:ascii="楷体" w:eastAsia="楷体" w:hAnsi="楷体" w:hint="eastAsia"/>
        </w:rPr>
        <w:t>46</w:t>
      </w:r>
      <w:r>
        <w:rPr>
          <w:rStyle w:val="ad"/>
          <w:rFonts w:ascii="楷体" w:eastAsia="楷体" w:hAnsi="楷体"/>
        </w:rPr>
        <w:t xml:space="preserve"> -</w:t>
      </w:r>
      <w:r>
        <w:rPr>
          <w:rStyle w:val="ad"/>
          <w:rFonts w:ascii="楷体" w:eastAsia="楷体" w:hAnsi="楷体"/>
        </w:rPr>
        <w:fldChar w:fldCharType="end"/>
      </w:r>
    </w:p>
    <w:p w:rsidR="007F5F66" w:rsidRDefault="008F1B68">
      <w:pPr>
        <w:pStyle w:val="TOC3"/>
        <w:tabs>
          <w:tab w:val="right" w:leader="dot" w:pos="8296"/>
        </w:tabs>
        <w:spacing w:line="300" w:lineRule="auto"/>
        <w:rPr>
          <w:rStyle w:val="ad"/>
          <w:rFonts w:ascii="楷体" w:eastAsia="楷体" w:hAnsi="楷体"/>
          <w:color w:val="auto"/>
          <w:u w:val="none"/>
        </w:rPr>
      </w:pPr>
      <w:r>
        <w:rPr>
          <w:rStyle w:val="ad"/>
          <w:rFonts w:ascii="楷体" w:eastAsia="楷体" w:hAnsi="楷体" w:hint="eastAsia"/>
          <w:color w:val="auto"/>
          <w:u w:val="none"/>
        </w:rPr>
        <w:t>附图-2嵊州市高标准农田新建项目分布图</w:t>
      </w:r>
      <w:r>
        <w:rPr>
          <w:rStyle w:val="ad"/>
          <w:rFonts w:ascii="楷体" w:eastAsia="楷体" w:hAnsi="楷体"/>
          <w:color w:val="auto"/>
          <w:u w:val="none"/>
        </w:rPr>
        <w:tab/>
      </w:r>
      <w:r>
        <w:rPr>
          <w:rStyle w:val="ad"/>
          <w:rFonts w:ascii="楷体" w:eastAsia="楷体" w:hAnsi="楷体"/>
        </w:rPr>
        <w:fldChar w:fldCharType="begin"/>
      </w:r>
      <w:r>
        <w:rPr>
          <w:rStyle w:val="ad"/>
          <w:rFonts w:ascii="楷体" w:eastAsia="楷体" w:hAnsi="楷体"/>
        </w:rPr>
        <w:instrText xml:space="preserve"> PAGEREF _Toc96439505 \h </w:instrText>
      </w:r>
      <w:r>
        <w:rPr>
          <w:rStyle w:val="ad"/>
          <w:rFonts w:ascii="楷体" w:eastAsia="楷体" w:hAnsi="楷体"/>
        </w:rPr>
      </w:r>
      <w:r>
        <w:rPr>
          <w:rStyle w:val="ad"/>
          <w:rFonts w:ascii="楷体" w:eastAsia="楷体" w:hAnsi="楷体"/>
        </w:rPr>
        <w:fldChar w:fldCharType="separate"/>
      </w:r>
      <w:r>
        <w:rPr>
          <w:rStyle w:val="ad"/>
          <w:rFonts w:ascii="楷体" w:eastAsia="楷体" w:hAnsi="楷体"/>
        </w:rPr>
        <w:t xml:space="preserve">- </w:t>
      </w:r>
      <w:r>
        <w:rPr>
          <w:rStyle w:val="ad"/>
          <w:rFonts w:ascii="楷体" w:eastAsia="楷体" w:hAnsi="楷体" w:hint="eastAsia"/>
        </w:rPr>
        <w:t>47</w:t>
      </w:r>
      <w:r>
        <w:rPr>
          <w:rStyle w:val="ad"/>
          <w:rFonts w:ascii="楷体" w:eastAsia="楷体" w:hAnsi="楷体"/>
        </w:rPr>
        <w:t xml:space="preserve"> -</w:t>
      </w:r>
      <w:r>
        <w:rPr>
          <w:rStyle w:val="ad"/>
          <w:rFonts w:ascii="楷体" w:eastAsia="楷体" w:hAnsi="楷体"/>
        </w:rPr>
        <w:fldChar w:fldCharType="end"/>
      </w:r>
    </w:p>
    <w:p w:rsidR="007F5F66" w:rsidRDefault="008F1B68">
      <w:pPr>
        <w:pStyle w:val="TOC3"/>
        <w:tabs>
          <w:tab w:val="right" w:leader="dot" w:pos="8296"/>
        </w:tabs>
        <w:spacing w:line="300" w:lineRule="auto"/>
        <w:rPr>
          <w:rStyle w:val="ad"/>
          <w:rFonts w:ascii="楷体" w:eastAsia="楷体" w:hAnsi="楷体"/>
          <w:color w:val="auto"/>
          <w:u w:val="none"/>
        </w:rPr>
      </w:pPr>
      <w:r>
        <w:rPr>
          <w:rStyle w:val="ad"/>
          <w:rFonts w:ascii="楷体" w:eastAsia="楷体" w:hAnsi="楷体" w:hint="eastAsia"/>
          <w:color w:val="auto"/>
          <w:u w:val="none"/>
        </w:rPr>
        <w:t>附图-3嵊州市改造提升项目及绿色农田项目分布图</w:t>
      </w:r>
      <w:r>
        <w:rPr>
          <w:rStyle w:val="ad"/>
          <w:rFonts w:ascii="楷体" w:eastAsia="楷体" w:hAnsi="楷体"/>
          <w:color w:val="auto"/>
          <w:u w:val="none"/>
        </w:rPr>
        <w:tab/>
      </w:r>
      <w:r>
        <w:rPr>
          <w:rStyle w:val="ad"/>
          <w:rFonts w:ascii="楷体" w:eastAsia="楷体" w:hAnsi="楷体"/>
        </w:rPr>
        <w:fldChar w:fldCharType="begin"/>
      </w:r>
      <w:r>
        <w:rPr>
          <w:rStyle w:val="ad"/>
          <w:rFonts w:ascii="楷体" w:eastAsia="楷体" w:hAnsi="楷体"/>
        </w:rPr>
        <w:instrText xml:space="preserve"> PAGEREF _Toc96439505 \h </w:instrText>
      </w:r>
      <w:r>
        <w:rPr>
          <w:rStyle w:val="ad"/>
          <w:rFonts w:ascii="楷体" w:eastAsia="楷体" w:hAnsi="楷体"/>
        </w:rPr>
      </w:r>
      <w:r>
        <w:rPr>
          <w:rStyle w:val="ad"/>
          <w:rFonts w:ascii="楷体" w:eastAsia="楷体" w:hAnsi="楷体"/>
        </w:rPr>
        <w:fldChar w:fldCharType="separate"/>
      </w:r>
      <w:r>
        <w:rPr>
          <w:rStyle w:val="ad"/>
          <w:rFonts w:ascii="楷体" w:eastAsia="楷体" w:hAnsi="楷体"/>
        </w:rPr>
        <w:t xml:space="preserve">- </w:t>
      </w:r>
      <w:r>
        <w:rPr>
          <w:rStyle w:val="ad"/>
          <w:rFonts w:ascii="楷体" w:eastAsia="楷体" w:hAnsi="楷体" w:hint="eastAsia"/>
        </w:rPr>
        <w:t>48</w:t>
      </w:r>
      <w:r>
        <w:rPr>
          <w:rStyle w:val="ad"/>
          <w:rFonts w:ascii="楷体" w:eastAsia="楷体" w:hAnsi="楷体"/>
        </w:rPr>
        <w:t xml:space="preserve"> -</w:t>
      </w:r>
      <w:r>
        <w:rPr>
          <w:rStyle w:val="ad"/>
          <w:rFonts w:ascii="楷体" w:eastAsia="楷体" w:hAnsi="楷体"/>
        </w:rPr>
        <w:fldChar w:fldCharType="end"/>
      </w:r>
    </w:p>
    <w:p w:rsidR="007F5F66" w:rsidRDefault="007F5F66">
      <w:pPr>
        <w:pStyle w:val="TOC3"/>
        <w:tabs>
          <w:tab w:val="right" w:leader="dot" w:pos="8296"/>
        </w:tabs>
        <w:spacing w:line="300" w:lineRule="auto"/>
        <w:rPr>
          <w:rFonts w:ascii="楷体" w:eastAsia="楷体" w:hAnsi="楷体"/>
          <w:sz w:val="24"/>
          <w:szCs w:val="24"/>
        </w:rPr>
      </w:pPr>
    </w:p>
    <w:p w:rsidR="007F5F66" w:rsidRDefault="008F1B68">
      <w:pPr>
        <w:spacing w:line="300" w:lineRule="auto"/>
        <w:rPr>
          <w:rFonts w:ascii="楷体" w:eastAsia="楷体" w:hAnsi="楷体"/>
        </w:rPr>
        <w:sectPr w:rsidR="007F5F66">
          <w:headerReference w:type="default" r:id="rId10"/>
          <w:pgSz w:w="11906" w:h="16838"/>
          <w:pgMar w:top="1440" w:right="1800" w:bottom="1440" w:left="1800" w:header="851" w:footer="992" w:gutter="0"/>
          <w:pgNumType w:start="1"/>
          <w:cols w:space="425"/>
          <w:docGrid w:type="lines" w:linePitch="312"/>
        </w:sectPr>
      </w:pPr>
      <w:r>
        <w:rPr>
          <w:rFonts w:ascii="楷体" w:eastAsia="楷体" w:hAnsi="楷体"/>
        </w:rPr>
        <w:br w:type="page"/>
      </w:r>
    </w:p>
    <w:p w:rsidR="007F5F66" w:rsidRDefault="007F5F66"/>
    <w:p w:rsidR="007F5F66" w:rsidRDefault="008F1B68">
      <w:pPr>
        <w:pStyle w:val="B"/>
        <w:spacing w:before="468" w:after="468"/>
        <w:jc w:val="center"/>
      </w:pPr>
      <w:bookmarkStart w:id="1" w:name="_Toc96439410"/>
      <w:r>
        <w:rPr>
          <w:rFonts w:hint="eastAsia"/>
        </w:rPr>
        <w:t>前</w:t>
      </w:r>
      <w:r>
        <w:rPr>
          <w:rFonts w:hint="eastAsia"/>
        </w:rPr>
        <w:t xml:space="preserve"> </w:t>
      </w:r>
      <w:r>
        <w:rPr>
          <w:rFonts w:hint="eastAsia"/>
        </w:rPr>
        <w:t>言</w:t>
      </w:r>
      <w:bookmarkEnd w:id="1"/>
    </w:p>
    <w:p w:rsidR="007F5F66" w:rsidRDefault="008F1B68">
      <w:pPr>
        <w:pStyle w:val="E"/>
        <w:spacing w:before="156" w:after="156"/>
        <w:ind w:firstLine="560"/>
      </w:pPr>
      <w:r>
        <w:rPr>
          <w:rFonts w:hint="eastAsia"/>
        </w:rPr>
        <w:t>高标准农田是指土地平整、土壤肥沃、集中连片、设施完善、农电配套、生态良好、抗灾能力强，与现代农业生产和经营方式相适应的旱涝保收、持续高产稳产的农田。高标准农田建设是守牢耕地保护红线和保障国家粮食安全的重要手段，也是加快推进农业现代化建设的基础保障。</w:t>
      </w:r>
    </w:p>
    <w:p w:rsidR="007F5F66" w:rsidRDefault="008F1B68">
      <w:pPr>
        <w:pStyle w:val="E"/>
        <w:spacing w:before="156" w:after="156"/>
        <w:ind w:firstLine="560"/>
      </w:pPr>
      <w:r>
        <w:rPr>
          <w:rFonts w:hint="eastAsia"/>
        </w:rPr>
        <w:t>根据《国务院办公厅切实加强高标准农田建设提升国家粮食安全保障能力的意见》、《全国高标准农田建设规划（</w:t>
      </w:r>
      <w:r>
        <w:rPr>
          <w:rFonts w:hint="eastAsia"/>
        </w:rPr>
        <w:t>2021~2030</w:t>
      </w:r>
      <w:r>
        <w:rPr>
          <w:rFonts w:hint="eastAsia"/>
        </w:rPr>
        <w:t>年）》、《浙江省高标准农田建设“十四五”规划》、</w:t>
      </w:r>
      <w:r>
        <w:t>《</w:t>
      </w:r>
      <w:r>
        <w:rPr>
          <w:rFonts w:hint="eastAsia"/>
        </w:rPr>
        <w:t>嵊州市</w:t>
      </w:r>
      <w:r>
        <w:t>国民经济和社会发展第十四个五年规划和二〇三五年远景目标纲要》</w:t>
      </w:r>
      <w:r>
        <w:rPr>
          <w:rFonts w:hint="eastAsia"/>
        </w:rPr>
        <w:t>等文件精神，在深入调研的基础上，组织编制了《嵊州市高标准农田建设“十四五”规划》（以下简称《规划》）。</w:t>
      </w:r>
    </w:p>
    <w:p w:rsidR="007F5F66" w:rsidRDefault="008F1B68">
      <w:pPr>
        <w:pStyle w:val="E"/>
        <w:spacing w:before="156" w:after="156"/>
        <w:ind w:firstLine="560"/>
      </w:pPr>
      <w:r>
        <w:rPr>
          <w:rFonts w:hint="eastAsia"/>
        </w:rPr>
        <w:t>《规划》阐明了嵊州市高标准农田建设的发展成效与面临的机遇挑战，提出了</w:t>
      </w:r>
      <w:r>
        <w:t>“</w:t>
      </w:r>
      <w:r>
        <w:rPr>
          <w:rFonts w:hint="eastAsia"/>
        </w:rPr>
        <w:t>十四五</w:t>
      </w:r>
      <w:r>
        <w:t>”</w:t>
      </w:r>
      <w:r>
        <w:rPr>
          <w:rFonts w:hint="eastAsia"/>
        </w:rPr>
        <w:t>时期高标准农田建设的总体思路、空间布局、建设内容及重点工程，是指导各地科学有序开展高标准农田建设的重要依据和行动指南。</w:t>
      </w:r>
    </w:p>
    <w:p w:rsidR="007F5F66" w:rsidRDefault="008F1B68">
      <w:pPr>
        <w:pStyle w:val="E"/>
        <w:spacing w:before="156" w:after="156"/>
        <w:ind w:firstLine="560"/>
      </w:pPr>
      <w:r>
        <w:rPr>
          <w:rFonts w:hint="eastAsia"/>
        </w:rPr>
        <w:t>《规划》基准年为</w:t>
      </w:r>
      <w:r>
        <w:rPr>
          <w:rFonts w:hint="eastAsia"/>
        </w:rPr>
        <w:t>2020</w:t>
      </w:r>
      <w:r>
        <w:rPr>
          <w:rFonts w:hint="eastAsia"/>
        </w:rPr>
        <w:t>年，规划期为</w:t>
      </w:r>
      <w:r w:rsidRPr="008F1B68">
        <w:t>2021</w:t>
      </w:r>
      <w:r w:rsidRPr="008F1B68">
        <w:rPr>
          <w:rFonts w:hint="eastAsia"/>
        </w:rPr>
        <w:t>～</w:t>
      </w:r>
      <w:r w:rsidRPr="008F1B68">
        <w:t>2025</w:t>
      </w:r>
      <w:r w:rsidRPr="008F1B68">
        <w:rPr>
          <w:rFonts w:hint="eastAsia"/>
        </w:rPr>
        <w:t>年</w:t>
      </w:r>
      <w:r>
        <w:t>。</w:t>
      </w:r>
    </w:p>
    <w:p w:rsidR="007F5F66" w:rsidRDefault="007F5F66">
      <w:pPr>
        <w:pStyle w:val="E"/>
        <w:spacing w:before="156" w:after="156"/>
        <w:ind w:firstLine="560"/>
      </w:pPr>
    </w:p>
    <w:p w:rsidR="007F5F66" w:rsidRDefault="007F5F66">
      <w:pPr>
        <w:pStyle w:val="E"/>
        <w:spacing w:before="156" w:after="156"/>
        <w:ind w:firstLine="560"/>
        <w:sectPr w:rsidR="007F5F66">
          <w:footerReference w:type="default" r:id="rId11"/>
          <w:pgSz w:w="11906" w:h="16838"/>
          <w:pgMar w:top="1440" w:right="1800" w:bottom="1440" w:left="1800" w:header="851" w:footer="992" w:gutter="0"/>
          <w:pgNumType w:fmt="numberInDash" w:start="1"/>
          <w:cols w:space="425"/>
          <w:docGrid w:type="lines" w:linePitch="312"/>
        </w:sectPr>
      </w:pPr>
    </w:p>
    <w:p w:rsidR="007F5F66" w:rsidRDefault="008F1B68">
      <w:pPr>
        <w:pStyle w:val="B"/>
        <w:spacing w:before="468" w:after="468"/>
      </w:pPr>
      <w:bookmarkStart w:id="2" w:name="_Toc96439411"/>
      <w:r>
        <w:rPr>
          <w:rFonts w:hint="eastAsia"/>
        </w:rPr>
        <w:lastRenderedPageBreak/>
        <w:t>一、规划基础</w:t>
      </w:r>
      <w:bookmarkEnd w:id="2"/>
    </w:p>
    <w:p w:rsidR="007F5F66" w:rsidRDefault="008F1B68">
      <w:pPr>
        <w:pStyle w:val="E"/>
        <w:spacing w:before="156" w:after="156"/>
        <w:ind w:firstLine="560"/>
      </w:pPr>
      <w:r>
        <w:rPr>
          <w:rFonts w:hint="eastAsia"/>
        </w:rPr>
        <w:t>“农，天下之本，务莫大焉”，</w:t>
      </w:r>
      <w:r>
        <w:t>农业是国家的根本，是最大的事情</w:t>
      </w:r>
      <w:r>
        <w:rPr>
          <w:rFonts w:hint="eastAsia"/>
        </w:rPr>
        <w:t>，农田是保障国家粮食安全、实施乡村振兴战略不可或缺的物质基础。</w:t>
      </w:r>
    </w:p>
    <w:p w:rsidR="007F5F66" w:rsidRDefault="008F1B68">
      <w:pPr>
        <w:pStyle w:val="C"/>
        <w:spacing w:before="312" w:after="312"/>
      </w:pPr>
      <w:bookmarkStart w:id="3" w:name="_Toc96439412"/>
      <w:bookmarkStart w:id="4" w:name="_Toc87806273"/>
      <w:r>
        <w:rPr>
          <w:rFonts w:hint="eastAsia"/>
        </w:rPr>
        <w:t>（一）建设成效</w:t>
      </w:r>
      <w:bookmarkEnd w:id="3"/>
    </w:p>
    <w:p w:rsidR="007F5F66" w:rsidRDefault="008F1B68">
      <w:pPr>
        <w:pStyle w:val="D"/>
        <w:spacing w:before="156" w:after="156"/>
        <w:ind w:firstLine="562"/>
      </w:pPr>
      <w:r>
        <w:rPr>
          <w:rFonts w:hint="eastAsia"/>
        </w:rPr>
        <w:t>1.</w:t>
      </w:r>
      <w:r>
        <w:rPr>
          <w:rFonts w:hint="eastAsia"/>
        </w:rPr>
        <w:t>农田基础设施得到全面改善，高标准农田建设规模显著</w:t>
      </w:r>
    </w:p>
    <w:p w:rsidR="007F5F66" w:rsidRDefault="008F1B68">
      <w:pPr>
        <w:pStyle w:val="E"/>
        <w:spacing w:before="156" w:after="156"/>
        <w:ind w:firstLine="560"/>
      </w:pPr>
      <w:r>
        <w:rPr>
          <w:rFonts w:hint="eastAsia"/>
        </w:rPr>
        <w:t>“十二五”以来，嵊州市高度重视高标准农田建设，积极组织并整合各方面资金，通过粮食生产功能区建设、高标准农田建设、农业综合开发土地治理项目、农业综合开发现代园等为主要内容的农田建设工程，基本实现“旱能灌、涝能排、路相通、渠相连”的建设目标，提高了农田配套保障能力，提升了农田产出效率和效益，为全市农业农村经济发展和生态环境保护及改善起到了重要作用。</w:t>
      </w:r>
    </w:p>
    <w:p w:rsidR="007F5F66" w:rsidRDefault="008F1B68">
      <w:pPr>
        <w:pStyle w:val="F2"/>
        <w:spacing w:before="156" w:after="156"/>
      </w:pPr>
      <w:bookmarkStart w:id="5" w:name="_Toc87740144"/>
      <w:bookmarkStart w:id="6" w:name="_Toc96791001"/>
      <w:bookmarkStart w:id="7" w:name="_Toc87806491"/>
      <w:bookmarkStart w:id="8" w:name="_Toc87806332"/>
      <w:r>
        <w:rPr>
          <w:rFonts w:hint="eastAsia"/>
        </w:rPr>
        <w:t>表</w:t>
      </w:r>
      <w:r>
        <w:rPr>
          <w:rFonts w:hint="eastAsia"/>
        </w:rPr>
        <w:t>1-1</w:t>
      </w:r>
      <w:r>
        <w:rPr>
          <w:rFonts w:hint="eastAsia"/>
        </w:rPr>
        <w:t>高标准农田、粮食生产功能区建设情况</w:t>
      </w:r>
      <w:bookmarkEnd w:id="5"/>
      <w:bookmarkEnd w:id="6"/>
      <w:bookmarkEnd w:id="7"/>
      <w:bookmarkEnd w:id="8"/>
    </w:p>
    <w:p w:rsidR="007F5F66" w:rsidRDefault="008F1B68">
      <w:pPr>
        <w:jc w:val="right"/>
        <w:rPr>
          <w:rFonts w:ascii="仿宋" w:eastAsia="仿宋" w:hAnsi="仿宋"/>
          <w:sz w:val="22"/>
        </w:rPr>
      </w:pPr>
      <w:r>
        <w:rPr>
          <w:rFonts w:ascii="仿宋" w:eastAsia="仿宋" w:hAnsi="仿宋"/>
          <w:sz w:val="22"/>
        </w:rPr>
        <w:t>单位：</w:t>
      </w:r>
      <w:r>
        <w:rPr>
          <w:rFonts w:ascii="仿宋" w:eastAsia="仿宋" w:hAnsi="仿宋" w:hint="eastAsia"/>
          <w:sz w:val="22"/>
        </w:rPr>
        <w:t>万亩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214"/>
        <w:gridCol w:w="1998"/>
        <w:gridCol w:w="2301"/>
        <w:gridCol w:w="1694"/>
      </w:tblGrid>
      <w:tr w:rsidR="008F1B68" w:rsidTr="008F1B68">
        <w:trPr>
          <w:trHeight w:val="634"/>
          <w:tblHeader/>
        </w:trPr>
        <w:tc>
          <w:tcPr>
            <w:tcW w:w="772" w:type="pct"/>
            <w:shd w:val="clear" w:color="auto" w:fill="auto"/>
            <w:noWrap/>
            <w:vAlign w:val="center"/>
          </w:tcPr>
          <w:p w:rsidR="007F5F66" w:rsidRPr="008F1B68" w:rsidRDefault="008F1B68" w:rsidP="008F1B68">
            <w:pPr>
              <w:widowControl/>
              <w:jc w:val="center"/>
              <w:rPr>
                <w:rFonts w:ascii="仿宋" w:eastAsia="仿宋" w:hAnsi="仿宋" w:cs="宋体"/>
                <w:b/>
                <w:bCs/>
                <w:color w:val="000000"/>
                <w:sz w:val="22"/>
              </w:rPr>
            </w:pPr>
            <w:r w:rsidRPr="008F1B68">
              <w:rPr>
                <w:rFonts w:ascii="仿宋" w:eastAsia="仿宋" w:hAnsi="仿宋" w:cs="宋体" w:hint="eastAsia"/>
                <w:b/>
                <w:bCs/>
                <w:color w:val="000000"/>
                <w:sz w:val="22"/>
              </w:rPr>
              <w:t>行政区</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b/>
                <w:bCs/>
                <w:color w:val="000000"/>
                <w:sz w:val="22"/>
              </w:rPr>
            </w:pPr>
            <w:r w:rsidRPr="008F1B68">
              <w:rPr>
                <w:rFonts w:ascii="仿宋" w:eastAsia="仿宋" w:hAnsi="仿宋" w:cs="宋体" w:hint="eastAsia"/>
                <w:b/>
                <w:bCs/>
                <w:color w:val="000000"/>
                <w:sz w:val="22"/>
              </w:rPr>
              <w:t>耕地</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b/>
                <w:bCs/>
                <w:color w:val="000000"/>
                <w:sz w:val="22"/>
              </w:rPr>
            </w:pPr>
            <w:r w:rsidRPr="008F1B68">
              <w:rPr>
                <w:rFonts w:ascii="仿宋" w:eastAsia="仿宋" w:hAnsi="仿宋" w:cs="宋体" w:hint="eastAsia"/>
                <w:b/>
                <w:bCs/>
                <w:color w:val="000000"/>
                <w:sz w:val="22"/>
              </w:rPr>
              <w:t>永久基本农田</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b/>
                <w:bCs/>
                <w:color w:val="000000"/>
                <w:sz w:val="22"/>
              </w:rPr>
            </w:pPr>
            <w:r w:rsidRPr="008F1B68">
              <w:rPr>
                <w:rFonts w:ascii="仿宋" w:eastAsia="仿宋" w:hAnsi="仿宋" w:cs="宋体" w:hint="eastAsia"/>
                <w:b/>
                <w:bCs/>
                <w:color w:val="000000"/>
                <w:sz w:val="22"/>
              </w:rPr>
              <w:t>2020年底累计</w:t>
            </w:r>
          </w:p>
          <w:p w:rsidR="007F5F66" w:rsidRPr="008F1B68" w:rsidRDefault="008F1B68" w:rsidP="008F1B68">
            <w:pPr>
              <w:jc w:val="center"/>
              <w:rPr>
                <w:rFonts w:ascii="仿宋" w:eastAsia="仿宋" w:hAnsi="仿宋" w:cs="宋体"/>
                <w:b/>
                <w:bCs/>
                <w:color w:val="000000"/>
                <w:sz w:val="22"/>
              </w:rPr>
            </w:pPr>
            <w:r w:rsidRPr="008F1B68">
              <w:rPr>
                <w:rFonts w:ascii="仿宋" w:eastAsia="仿宋" w:hAnsi="仿宋" w:cs="宋体" w:hint="eastAsia"/>
                <w:b/>
                <w:bCs/>
                <w:color w:val="000000"/>
                <w:sz w:val="22"/>
              </w:rPr>
              <w:t>建成高标准农田</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b/>
                <w:bCs/>
                <w:color w:val="000000"/>
                <w:sz w:val="22"/>
              </w:rPr>
            </w:pPr>
            <w:r w:rsidRPr="008F1B68">
              <w:rPr>
                <w:rFonts w:ascii="仿宋" w:eastAsia="仿宋" w:hAnsi="仿宋" w:cs="宋体" w:hint="eastAsia"/>
                <w:b/>
                <w:bCs/>
                <w:color w:val="000000"/>
                <w:sz w:val="22"/>
              </w:rPr>
              <w:t>粮食生产</w:t>
            </w:r>
          </w:p>
          <w:p w:rsidR="007F5F66" w:rsidRPr="008F1B68" w:rsidRDefault="008F1B68" w:rsidP="008F1B68">
            <w:pPr>
              <w:jc w:val="center"/>
              <w:rPr>
                <w:rFonts w:ascii="仿宋" w:eastAsia="仿宋" w:hAnsi="仿宋" w:cs="宋体"/>
                <w:b/>
                <w:bCs/>
                <w:color w:val="000000"/>
                <w:sz w:val="22"/>
              </w:rPr>
            </w:pPr>
            <w:r w:rsidRPr="008F1B68">
              <w:rPr>
                <w:rFonts w:ascii="仿宋" w:eastAsia="仿宋" w:hAnsi="仿宋" w:cs="宋体" w:hint="eastAsia"/>
                <w:b/>
                <w:bCs/>
                <w:color w:val="000000"/>
                <w:sz w:val="22"/>
              </w:rPr>
              <w:t>功能区面积</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b/>
                <w:color w:val="000000"/>
                <w:sz w:val="22"/>
              </w:rPr>
            </w:pPr>
            <w:r w:rsidRPr="008F1B68">
              <w:rPr>
                <w:rFonts w:ascii="仿宋" w:eastAsia="仿宋" w:hAnsi="仿宋" w:cs="宋体" w:hint="eastAsia"/>
                <w:b/>
                <w:color w:val="000000"/>
                <w:sz w:val="22"/>
              </w:rPr>
              <w:t>嵊州市</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b/>
                <w:color w:val="000000"/>
                <w:sz w:val="22"/>
              </w:rPr>
            </w:pPr>
            <w:r w:rsidRPr="008F1B68">
              <w:rPr>
                <w:rFonts w:ascii="仿宋" w:eastAsia="仿宋" w:hAnsi="仿宋" w:cs="宋体" w:hint="eastAsia"/>
                <w:b/>
                <w:color w:val="000000"/>
                <w:sz w:val="22"/>
              </w:rPr>
              <w:t>67.29</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b/>
                <w:color w:val="000000"/>
                <w:sz w:val="22"/>
              </w:rPr>
            </w:pPr>
            <w:r w:rsidRPr="008F1B68">
              <w:rPr>
                <w:rFonts w:ascii="仿宋" w:eastAsia="仿宋" w:hAnsi="仿宋" w:cs="宋体" w:hint="eastAsia"/>
                <w:b/>
                <w:color w:val="000000"/>
                <w:sz w:val="22"/>
              </w:rPr>
              <w:t>54.9</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b/>
                <w:color w:val="000000"/>
                <w:sz w:val="22"/>
              </w:rPr>
            </w:pPr>
            <w:r w:rsidRPr="008F1B68">
              <w:rPr>
                <w:rFonts w:ascii="仿宋" w:eastAsia="仿宋" w:hAnsi="仿宋" w:cs="宋体" w:hint="eastAsia"/>
                <w:b/>
                <w:color w:val="000000"/>
                <w:sz w:val="22"/>
              </w:rPr>
              <w:t>51.74</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b/>
                <w:color w:val="000000"/>
                <w:sz w:val="22"/>
              </w:rPr>
            </w:pPr>
            <w:r w:rsidRPr="008F1B68">
              <w:rPr>
                <w:rFonts w:ascii="仿宋" w:eastAsia="仿宋" w:hAnsi="仿宋" w:cs="宋体" w:hint="eastAsia"/>
                <w:b/>
                <w:color w:val="000000"/>
                <w:sz w:val="22"/>
              </w:rPr>
              <w:t>18.02</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崇仁镇</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9.72</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8.56</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8.3</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3.73</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甘霖镇</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8.86</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7.52</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8.16</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5.3</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谷来镇</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2.28</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1.6</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1.48</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0.00</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贵门乡</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2.12</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1.62</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1.54</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0.00</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黄泽镇</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5.74</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5.04</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4.55</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2.25</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金庭镇</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5.19</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4.46</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4.04</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0.00</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鹿山街道</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3.40</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2.41</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2.61</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0.00</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浦口街道</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3.00</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1.73</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0.83</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0.00</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lastRenderedPageBreak/>
              <w:t>三江街道</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2.43</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1.47</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0.6</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0.00</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三界镇</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7.66</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6.46</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6.24</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4.02</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剡湖街道</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1.75</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1.19</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1.03</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0.00</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石璜镇</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3.40</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2.92</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2.75</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0.59</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下王镇</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2.06</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1.59</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1.34</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0.00</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仙岩镇</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2.16</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1.69</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0.96</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0.00</w:t>
            </w:r>
          </w:p>
        </w:tc>
      </w:tr>
      <w:tr w:rsidR="008F1B68" w:rsidTr="008F1B68">
        <w:trPr>
          <w:trHeight w:val="288"/>
        </w:trPr>
        <w:tc>
          <w:tcPr>
            <w:tcW w:w="7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长乐镇</w:t>
            </w:r>
          </w:p>
        </w:tc>
        <w:tc>
          <w:tcPr>
            <w:tcW w:w="71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7.52</w:t>
            </w:r>
          </w:p>
        </w:tc>
        <w:tc>
          <w:tcPr>
            <w:tcW w:w="1172"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6.64</w:t>
            </w:r>
          </w:p>
        </w:tc>
        <w:tc>
          <w:tcPr>
            <w:tcW w:w="1350"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7.31</w:t>
            </w:r>
          </w:p>
        </w:tc>
        <w:tc>
          <w:tcPr>
            <w:tcW w:w="994"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2.13</w:t>
            </w:r>
          </w:p>
        </w:tc>
      </w:tr>
    </w:tbl>
    <w:p w:rsidR="007F5F66" w:rsidRDefault="008F1B68">
      <w:pPr>
        <w:pStyle w:val="E"/>
        <w:spacing w:before="156" w:after="156"/>
        <w:ind w:firstLine="560"/>
      </w:pPr>
      <w:bookmarkStart w:id="9" w:name="_Toc335901885"/>
      <w:bookmarkEnd w:id="9"/>
      <w:r>
        <w:rPr>
          <w:rFonts w:hint="eastAsia"/>
        </w:rPr>
        <w:t>截至</w:t>
      </w:r>
      <w:r>
        <w:t>2020</w:t>
      </w:r>
      <w:r>
        <w:rPr>
          <w:rFonts w:hint="eastAsia"/>
        </w:rPr>
        <w:t>年底，累计建成高标准农田</w:t>
      </w:r>
      <w:r>
        <w:rPr>
          <w:rFonts w:hint="eastAsia"/>
        </w:rPr>
        <w:t>51.74</w:t>
      </w:r>
      <w:r>
        <w:rPr>
          <w:rFonts w:hint="eastAsia"/>
        </w:rPr>
        <w:t>万亩，占永久基本农田保有量的</w:t>
      </w:r>
      <w:r>
        <w:rPr>
          <w:rFonts w:hint="eastAsia"/>
        </w:rPr>
        <w:t>94.24</w:t>
      </w:r>
      <w:r>
        <w:t>%</w:t>
      </w:r>
      <w:r>
        <w:rPr>
          <w:rFonts w:hint="eastAsia"/>
        </w:rPr>
        <w:t>。建成粮食生产功能区面积</w:t>
      </w:r>
      <w:r>
        <w:rPr>
          <w:rFonts w:hint="eastAsia"/>
        </w:rPr>
        <w:t>18.02</w:t>
      </w:r>
      <w:r>
        <w:rPr>
          <w:rFonts w:hint="eastAsia"/>
        </w:rPr>
        <w:t>万亩，占永久基本农田的</w:t>
      </w:r>
      <w:r>
        <w:rPr>
          <w:rFonts w:hint="eastAsia"/>
        </w:rPr>
        <w:t>32.38%</w:t>
      </w:r>
      <w:r>
        <w:rPr>
          <w:rFonts w:hint="eastAsia"/>
        </w:rPr>
        <w:t>，为稳定和提高粮食生产能力提供了坚实的物质基础。</w:t>
      </w:r>
    </w:p>
    <w:p w:rsidR="007F5F66" w:rsidRDefault="008F1B68">
      <w:pPr>
        <w:pStyle w:val="D"/>
        <w:spacing w:before="156" w:after="156"/>
        <w:ind w:firstLine="562"/>
      </w:pPr>
      <w:r>
        <w:rPr>
          <w:rFonts w:hint="eastAsia"/>
        </w:rPr>
        <w:t>2.</w:t>
      </w:r>
      <w:r>
        <w:rPr>
          <w:rFonts w:hint="eastAsia"/>
        </w:rPr>
        <w:t>耕地质量和粮食综合生产能力稳中有升</w:t>
      </w:r>
    </w:p>
    <w:p w:rsidR="007F5F66" w:rsidRPr="008F1B68" w:rsidRDefault="008F1B68">
      <w:pPr>
        <w:pStyle w:val="E"/>
        <w:spacing w:before="156" w:after="156"/>
        <w:ind w:firstLine="560"/>
      </w:pPr>
      <w:r w:rsidRPr="008F1B68">
        <w:rPr>
          <w:rFonts w:hint="eastAsia"/>
        </w:rPr>
        <w:t>自“十二五”高标准农田建设以来，嵊州市耕地质量等别有显著提升，根据《绍兴市高标准农田内耕地质量等别情况》，绍兴市平均耕地质量等级</w:t>
      </w:r>
      <w:r w:rsidRPr="008F1B68">
        <w:rPr>
          <w:rFonts w:hint="eastAsia"/>
        </w:rPr>
        <w:t>3.43</w:t>
      </w:r>
      <w:r w:rsidRPr="008F1B68">
        <w:rPr>
          <w:rFonts w:hint="eastAsia"/>
        </w:rPr>
        <w:t>等，嵊州市平均耕地质量等级为</w:t>
      </w:r>
      <w:r w:rsidRPr="008F1B68">
        <w:t>3.</w:t>
      </w:r>
      <w:r w:rsidRPr="008F1B68">
        <w:rPr>
          <w:rFonts w:hint="eastAsia"/>
        </w:rPr>
        <w:t>53</w:t>
      </w:r>
      <w:r w:rsidRPr="008F1B68">
        <w:rPr>
          <w:rFonts w:hint="eastAsia"/>
        </w:rPr>
        <w:t>等，较全省同期高约</w:t>
      </w:r>
      <w:r w:rsidRPr="008F1B68">
        <w:rPr>
          <w:rFonts w:hint="eastAsia"/>
        </w:rPr>
        <w:t>0.2</w:t>
      </w:r>
      <w:r w:rsidRPr="008F1B68">
        <w:rPr>
          <w:rFonts w:hint="eastAsia"/>
        </w:rPr>
        <w:t>个等级。其中，一至三等的耕地面积</w:t>
      </w:r>
      <w:r w:rsidRPr="008F1B68">
        <w:rPr>
          <w:rFonts w:hint="eastAsia"/>
        </w:rPr>
        <w:t>26.81</w:t>
      </w:r>
      <w:r w:rsidRPr="008F1B68">
        <w:rPr>
          <w:rFonts w:hint="eastAsia"/>
        </w:rPr>
        <w:t>万亩，占总面积的</w:t>
      </w:r>
      <w:r w:rsidRPr="008F1B68">
        <w:rPr>
          <w:rFonts w:hint="eastAsia"/>
        </w:rPr>
        <w:t>51.10%</w:t>
      </w:r>
      <w:r w:rsidRPr="008F1B68">
        <w:rPr>
          <w:rFonts w:hint="eastAsia"/>
        </w:rPr>
        <w:t>；四至六等的耕地面积</w:t>
      </w:r>
      <w:r w:rsidRPr="008F1B68">
        <w:rPr>
          <w:rFonts w:hint="eastAsia"/>
        </w:rPr>
        <w:t>23.89</w:t>
      </w:r>
      <w:r w:rsidRPr="008F1B68">
        <w:rPr>
          <w:rFonts w:hint="eastAsia"/>
        </w:rPr>
        <w:t>万亩，占总面积的</w:t>
      </w:r>
      <w:r w:rsidRPr="008F1B68">
        <w:rPr>
          <w:rFonts w:hint="eastAsia"/>
        </w:rPr>
        <w:t>45.53%</w:t>
      </w:r>
      <w:r w:rsidRPr="008F1B68">
        <w:rPr>
          <w:rFonts w:hint="eastAsia"/>
        </w:rPr>
        <w:t>；七至十等</w:t>
      </w:r>
      <w:r w:rsidRPr="008F1B68">
        <w:rPr>
          <w:rFonts w:hint="eastAsia"/>
        </w:rPr>
        <w:t>1.77</w:t>
      </w:r>
      <w:r w:rsidRPr="008F1B68">
        <w:rPr>
          <w:rFonts w:hint="eastAsia"/>
        </w:rPr>
        <w:t>万亩，占总面积的</w:t>
      </w:r>
      <w:r w:rsidRPr="008F1B68">
        <w:rPr>
          <w:rFonts w:hint="eastAsia"/>
        </w:rPr>
        <w:t>3.37%</w:t>
      </w:r>
      <w:r w:rsidRPr="008F1B68">
        <w:rPr>
          <w:rFonts w:hint="eastAsia"/>
        </w:rPr>
        <w:t>。</w:t>
      </w:r>
    </w:p>
    <w:p w:rsidR="007F5F66" w:rsidRPr="008F1B68" w:rsidRDefault="008F1B68">
      <w:pPr>
        <w:pStyle w:val="E"/>
        <w:spacing w:before="156" w:after="156"/>
        <w:ind w:firstLine="560"/>
      </w:pPr>
      <w:r w:rsidRPr="008F1B68">
        <w:rPr>
          <w:rFonts w:hint="eastAsia"/>
        </w:rPr>
        <w:t>通过高标准农田建设，粮食综合生产能力有一定提升，</w:t>
      </w:r>
      <w:r w:rsidRPr="008F1B68">
        <w:rPr>
          <w:rFonts w:hint="eastAsia"/>
        </w:rPr>
        <w:t>2020</w:t>
      </w:r>
      <w:r w:rsidRPr="008F1B68">
        <w:rPr>
          <w:rFonts w:hint="eastAsia"/>
        </w:rPr>
        <w:t>年，全市粮食播种面积达到</w:t>
      </w:r>
      <w:r w:rsidRPr="008F1B68">
        <w:rPr>
          <w:rFonts w:hint="eastAsia"/>
        </w:rPr>
        <w:t>31.8</w:t>
      </w:r>
      <w:r w:rsidRPr="008F1B68">
        <w:rPr>
          <w:rFonts w:hint="eastAsia"/>
        </w:rPr>
        <w:t>万亩，粮食产量达</w:t>
      </w:r>
      <w:r w:rsidRPr="008F1B68">
        <w:rPr>
          <w:rFonts w:hint="eastAsia"/>
        </w:rPr>
        <w:t>13.5</w:t>
      </w:r>
      <w:r w:rsidRPr="008F1B68">
        <w:rPr>
          <w:rFonts w:hint="eastAsia"/>
        </w:rPr>
        <w:t>万吨，水稻耕种收综合机械化率达到</w:t>
      </w:r>
      <w:r w:rsidRPr="008F1B68">
        <w:rPr>
          <w:rFonts w:hint="eastAsia"/>
        </w:rPr>
        <w:t>82.5%</w:t>
      </w:r>
      <w:r w:rsidRPr="008F1B68">
        <w:rPr>
          <w:rFonts w:hint="eastAsia"/>
        </w:rPr>
        <w:t>，创建</w:t>
      </w:r>
      <w:r w:rsidRPr="008F1B68">
        <w:rPr>
          <w:rFonts w:hint="eastAsia"/>
        </w:rPr>
        <w:t>5</w:t>
      </w:r>
      <w:r w:rsidRPr="008F1B68">
        <w:rPr>
          <w:rFonts w:hint="eastAsia"/>
        </w:rPr>
        <w:t>个省级水稻绿色高产高效示范方和</w:t>
      </w:r>
      <w:r w:rsidRPr="008F1B68">
        <w:rPr>
          <w:rFonts w:hint="eastAsia"/>
        </w:rPr>
        <w:t>2</w:t>
      </w:r>
      <w:r w:rsidRPr="008F1B68">
        <w:rPr>
          <w:rFonts w:hint="eastAsia"/>
        </w:rPr>
        <w:t>个省级旱粮百亩示范方，总面积近</w:t>
      </w:r>
      <w:r w:rsidRPr="008F1B68">
        <w:rPr>
          <w:rFonts w:hint="eastAsia"/>
        </w:rPr>
        <w:t>6000</w:t>
      </w:r>
      <w:r w:rsidRPr="008F1B68">
        <w:rPr>
          <w:rFonts w:hint="eastAsia"/>
        </w:rPr>
        <w:t>亩，示范作物包括单季稻和双季稻及玉米、番薯等旱地作物，把各项农业技术措施在示范方</w:t>
      </w:r>
      <w:r w:rsidRPr="008F1B68">
        <w:rPr>
          <w:rFonts w:hint="eastAsia"/>
        </w:rPr>
        <w:lastRenderedPageBreak/>
        <w:t>内集聚并综合应用，实现粮食生产的高产绿色优质目标。</w:t>
      </w:r>
    </w:p>
    <w:p w:rsidR="007F5F66" w:rsidRDefault="008F1B68">
      <w:pPr>
        <w:pStyle w:val="F2"/>
        <w:spacing w:before="156" w:after="156"/>
      </w:pPr>
      <w:bookmarkStart w:id="10" w:name="_Toc96791002"/>
      <w:bookmarkStart w:id="11" w:name="_Toc93749884"/>
      <w:r>
        <w:rPr>
          <w:rFonts w:hint="eastAsia"/>
        </w:rPr>
        <w:t>表</w:t>
      </w:r>
      <w:r>
        <w:rPr>
          <w:rFonts w:hint="eastAsia"/>
        </w:rPr>
        <w:t>1</w:t>
      </w:r>
      <w:r>
        <w:t>-2</w:t>
      </w:r>
      <w:r>
        <w:rPr>
          <w:rFonts w:hint="eastAsia"/>
        </w:rPr>
        <w:t>耕地质量等级情况</w:t>
      </w:r>
      <w:bookmarkEnd w:id="10"/>
      <w:bookmarkEnd w:id="11"/>
    </w:p>
    <w:p w:rsidR="007F5F66" w:rsidRPr="008F1B68" w:rsidRDefault="008F1B68">
      <w:pPr>
        <w:jc w:val="right"/>
        <w:rPr>
          <w:rFonts w:ascii="仿宋" w:eastAsia="仿宋" w:hAnsi="仿宋"/>
          <w:color w:val="000000"/>
          <w:sz w:val="22"/>
        </w:rPr>
      </w:pPr>
      <w:r w:rsidRPr="008F1B68">
        <w:rPr>
          <w:rFonts w:ascii="仿宋" w:eastAsia="仿宋" w:hAnsi="仿宋" w:hint="eastAsia"/>
          <w:color w:val="000000"/>
          <w:sz w:val="22"/>
        </w:rPr>
        <w:t>单位：万亩、%</w:t>
      </w:r>
    </w:p>
    <w:tbl>
      <w:tblPr>
        <w:tblW w:w="5000" w:type="pct"/>
        <w:tblLook w:val="04A0" w:firstRow="1" w:lastRow="0" w:firstColumn="1" w:lastColumn="0" w:noHBand="0" w:noVBand="1"/>
      </w:tblPr>
      <w:tblGrid>
        <w:gridCol w:w="1138"/>
        <w:gridCol w:w="1430"/>
        <w:gridCol w:w="1139"/>
        <w:gridCol w:w="992"/>
        <w:gridCol w:w="992"/>
        <w:gridCol w:w="992"/>
        <w:gridCol w:w="992"/>
        <w:gridCol w:w="847"/>
      </w:tblGrid>
      <w:tr w:rsidR="007F5F66">
        <w:trPr>
          <w:trHeight w:val="324"/>
        </w:trPr>
        <w:tc>
          <w:tcPr>
            <w:tcW w:w="668" w:type="pct"/>
            <w:vMerge w:val="restart"/>
            <w:tcBorders>
              <w:top w:val="single" w:sz="8" w:space="0" w:color="auto"/>
              <w:left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行政区</w:t>
            </w:r>
          </w:p>
        </w:tc>
        <w:tc>
          <w:tcPr>
            <w:tcW w:w="839" w:type="pct"/>
            <w:vMerge w:val="restart"/>
            <w:tcBorders>
              <w:top w:val="single" w:sz="8" w:space="0" w:color="auto"/>
              <w:left w:val="nil"/>
              <w:right w:val="single" w:sz="8" w:space="0" w:color="auto"/>
            </w:tcBorders>
            <w:shd w:val="clear" w:color="auto" w:fill="auto"/>
            <w:noWrap/>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平均等级</w:t>
            </w:r>
          </w:p>
        </w:tc>
        <w:tc>
          <w:tcPr>
            <w:tcW w:w="1250" w:type="pct"/>
            <w:gridSpan w:val="2"/>
            <w:tcBorders>
              <w:top w:val="single" w:sz="8" w:space="0" w:color="auto"/>
              <w:left w:val="nil"/>
              <w:bottom w:val="single" w:sz="8" w:space="0" w:color="auto"/>
              <w:right w:val="single" w:sz="8" w:space="0" w:color="000000"/>
            </w:tcBorders>
            <w:shd w:val="clear" w:color="auto" w:fill="auto"/>
            <w:noWrap/>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一至三等</w:t>
            </w:r>
          </w:p>
        </w:tc>
        <w:tc>
          <w:tcPr>
            <w:tcW w:w="1164" w:type="pct"/>
            <w:gridSpan w:val="2"/>
            <w:tcBorders>
              <w:top w:val="single" w:sz="8" w:space="0" w:color="auto"/>
              <w:left w:val="nil"/>
              <w:bottom w:val="single" w:sz="8" w:space="0" w:color="auto"/>
              <w:right w:val="single" w:sz="8" w:space="0" w:color="000000"/>
            </w:tcBorders>
            <w:shd w:val="clear" w:color="auto" w:fill="auto"/>
            <w:noWrap/>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四至六等</w:t>
            </w:r>
          </w:p>
        </w:tc>
        <w:tc>
          <w:tcPr>
            <w:tcW w:w="1079" w:type="pct"/>
            <w:gridSpan w:val="2"/>
            <w:tcBorders>
              <w:top w:val="single" w:sz="8" w:space="0" w:color="auto"/>
              <w:left w:val="nil"/>
              <w:bottom w:val="single" w:sz="8" w:space="0" w:color="auto"/>
              <w:right w:val="single" w:sz="8" w:space="0" w:color="000000"/>
            </w:tcBorders>
            <w:shd w:val="clear" w:color="auto" w:fill="auto"/>
            <w:noWrap/>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七至十等</w:t>
            </w:r>
          </w:p>
        </w:tc>
      </w:tr>
      <w:tr w:rsidR="007F5F66">
        <w:trPr>
          <w:trHeight w:val="324"/>
        </w:trPr>
        <w:tc>
          <w:tcPr>
            <w:tcW w:w="668" w:type="pct"/>
            <w:vMerge/>
            <w:tcBorders>
              <w:left w:val="single" w:sz="8" w:space="0" w:color="auto"/>
              <w:bottom w:val="single" w:sz="8" w:space="0" w:color="auto"/>
              <w:right w:val="single" w:sz="8" w:space="0" w:color="auto"/>
            </w:tcBorders>
            <w:shd w:val="clear" w:color="auto" w:fill="auto"/>
            <w:noWrap/>
            <w:vAlign w:val="center"/>
          </w:tcPr>
          <w:p w:rsidR="007F5F66" w:rsidRDefault="007F5F66">
            <w:pPr>
              <w:widowControl/>
              <w:jc w:val="center"/>
              <w:rPr>
                <w:rFonts w:ascii="仿宋" w:eastAsia="仿宋" w:hAnsi="仿宋"/>
                <w:color w:val="000000"/>
                <w:sz w:val="24"/>
                <w:szCs w:val="24"/>
              </w:rPr>
            </w:pPr>
          </w:p>
        </w:tc>
        <w:tc>
          <w:tcPr>
            <w:tcW w:w="839" w:type="pct"/>
            <w:vMerge/>
            <w:tcBorders>
              <w:left w:val="nil"/>
              <w:bottom w:val="single" w:sz="8" w:space="0" w:color="auto"/>
              <w:right w:val="single" w:sz="8" w:space="0" w:color="auto"/>
            </w:tcBorders>
            <w:shd w:val="clear" w:color="auto" w:fill="auto"/>
            <w:noWrap/>
            <w:vAlign w:val="center"/>
          </w:tcPr>
          <w:p w:rsidR="007F5F66" w:rsidRDefault="007F5F66">
            <w:pPr>
              <w:widowControl/>
              <w:jc w:val="center"/>
              <w:rPr>
                <w:rFonts w:ascii="仿宋" w:eastAsia="仿宋" w:hAnsi="仿宋"/>
                <w:color w:val="000000"/>
                <w:sz w:val="24"/>
                <w:szCs w:val="24"/>
              </w:rPr>
            </w:pPr>
          </w:p>
        </w:tc>
        <w:tc>
          <w:tcPr>
            <w:tcW w:w="668"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面积</w:t>
            </w:r>
          </w:p>
        </w:tc>
        <w:tc>
          <w:tcPr>
            <w:tcW w:w="582" w:type="pct"/>
            <w:tcBorders>
              <w:top w:val="nil"/>
              <w:left w:val="nil"/>
              <w:bottom w:val="single" w:sz="8" w:space="0" w:color="auto"/>
              <w:right w:val="single" w:sz="8" w:space="0" w:color="auto"/>
            </w:tcBorders>
            <w:shd w:val="clear" w:color="auto" w:fill="auto"/>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比例</w:t>
            </w:r>
          </w:p>
        </w:tc>
        <w:tc>
          <w:tcPr>
            <w:tcW w:w="582"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面积</w:t>
            </w:r>
          </w:p>
        </w:tc>
        <w:tc>
          <w:tcPr>
            <w:tcW w:w="582" w:type="pct"/>
            <w:tcBorders>
              <w:top w:val="nil"/>
              <w:left w:val="nil"/>
              <w:bottom w:val="single" w:sz="8" w:space="0" w:color="auto"/>
              <w:right w:val="single" w:sz="8" w:space="0" w:color="auto"/>
            </w:tcBorders>
            <w:shd w:val="clear" w:color="auto" w:fill="auto"/>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比例</w:t>
            </w:r>
          </w:p>
        </w:tc>
        <w:tc>
          <w:tcPr>
            <w:tcW w:w="582"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面积</w:t>
            </w:r>
          </w:p>
        </w:tc>
        <w:tc>
          <w:tcPr>
            <w:tcW w:w="497" w:type="pct"/>
            <w:tcBorders>
              <w:top w:val="nil"/>
              <w:left w:val="nil"/>
              <w:bottom w:val="single" w:sz="8" w:space="0" w:color="auto"/>
              <w:right w:val="single" w:sz="8" w:space="0" w:color="auto"/>
            </w:tcBorders>
            <w:shd w:val="clear" w:color="auto" w:fill="auto"/>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比例</w:t>
            </w:r>
          </w:p>
        </w:tc>
      </w:tr>
      <w:tr w:rsidR="007F5F66">
        <w:trPr>
          <w:trHeight w:val="324"/>
        </w:trPr>
        <w:tc>
          <w:tcPr>
            <w:tcW w:w="668" w:type="pct"/>
            <w:tcBorders>
              <w:top w:val="nil"/>
              <w:left w:val="single" w:sz="8" w:space="0" w:color="auto"/>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绍兴市</w:t>
            </w:r>
          </w:p>
        </w:tc>
        <w:tc>
          <w:tcPr>
            <w:tcW w:w="839"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3.43</w:t>
            </w:r>
          </w:p>
        </w:tc>
        <w:tc>
          <w:tcPr>
            <w:tcW w:w="668"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120.95</w:t>
            </w:r>
          </w:p>
        </w:tc>
        <w:tc>
          <w:tcPr>
            <w:tcW w:w="582" w:type="pct"/>
            <w:tcBorders>
              <w:top w:val="nil"/>
              <w:left w:val="nil"/>
              <w:bottom w:val="single" w:sz="8" w:space="0" w:color="auto"/>
              <w:right w:val="single" w:sz="8" w:space="0" w:color="auto"/>
            </w:tcBorders>
            <w:shd w:val="clear" w:color="auto" w:fill="auto"/>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58.52</w:t>
            </w:r>
          </w:p>
        </w:tc>
        <w:tc>
          <w:tcPr>
            <w:tcW w:w="582"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72.09</w:t>
            </w:r>
          </w:p>
        </w:tc>
        <w:tc>
          <w:tcPr>
            <w:tcW w:w="582" w:type="pct"/>
            <w:tcBorders>
              <w:top w:val="nil"/>
              <w:left w:val="nil"/>
              <w:bottom w:val="single" w:sz="8" w:space="0" w:color="auto"/>
              <w:right w:val="single" w:sz="8" w:space="0" w:color="auto"/>
            </w:tcBorders>
            <w:shd w:val="clear" w:color="auto" w:fill="auto"/>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34.88</w:t>
            </w:r>
          </w:p>
        </w:tc>
        <w:tc>
          <w:tcPr>
            <w:tcW w:w="582"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13.63</w:t>
            </w:r>
          </w:p>
        </w:tc>
        <w:tc>
          <w:tcPr>
            <w:tcW w:w="497" w:type="pct"/>
            <w:tcBorders>
              <w:top w:val="nil"/>
              <w:left w:val="nil"/>
              <w:bottom w:val="single" w:sz="8" w:space="0" w:color="auto"/>
              <w:right w:val="single" w:sz="8" w:space="0" w:color="auto"/>
            </w:tcBorders>
            <w:shd w:val="clear" w:color="auto" w:fill="auto"/>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6.60</w:t>
            </w:r>
          </w:p>
        </w:tc>
      </w:tr>
      <w:tr w:rsidR="007F5F66">
        <w:trPr>
          <w:trHeight w:val="324"/>
        </w:trPr>
        <w:tc>
          <w:tcPr>
            <w:tcW w:w="668" w:type="pct"/>
            <w:tcBorders>
              <w:top w:val="nil"/>
              <w:left w:val="single" w:sz="8" w:space="0" w:color="auto"/>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s="宋体"/>
                <w:color w:val="000000"/>
                <w:sz w:val="24"/>
                <w:szCs w:val="24"/>
              </w:rPr>
            </w:pPr>
            <w:r>
              <w:rPr>
                <w:rFonts w:ascii="仿宋" w:eastAsia="仿宋" w:hAnsi="仿宋" w:cs="宋体" w:hint="eastAsia"/>
                <w:color w:val="000000"/>
                <w:sz w:val="24"/>
                <w:szCs w:val="24"/>
              </w:rPr>
              <w:t>嵊州市</w:t>
            </w:r>
          </w:p>
        </w:tc>
        <w:tc>
          <w:tcPr>
            <w:tcW w:w="839"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3.53</w:t>
            </w:r>
          </w:p>
        </w:tc>
        <w:tc>
          <w:tcPr>
            <w:tcW w:w="668"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26.81</w:t>
            </w:r>
          </w:p>
        </w:tc>
        <w:tc>
          <w:tcPr>
            <w:tcW w:w="582" w:type="pct"/>
            <w:tcBorders>
              <w:top w:val="nil"/>
              <w:left w:val="nil"/>
              <w:bottom w:val="single" w:sz="8" w:space="0" w:color="auto"/>
              <w:right w:val="single" w:sz="8" w:space="0" w:color="auto"/>
            </w:tcBorders>
            <w:shd w:val="clear" w:color="auto" w:fill="auto"/>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51.10</w:t>
            </w:r>
          </w:p>
        </w:tc>
        <w:tc>
          <w:tcPr>
            <w:tcW w:w="582"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23.89</w:t>
            </w:r>
          </w:p>
        </w:tc>
        <w:tc>
          <w:tcPr>
            <w:tcW w:w="582" w:type="pct"/>
            <w:tcBorders>
              <w:top w:val="nil"/>
              <w:left w:val="nil"/>
              <w:bottom w:val="single" w:sz="8" w:space="0" w:color="auto"/>
              <w:right w:val="single" w:sz="8" w:space="0" w:color="auto"/>
            </w:tcBorders>
            <w:shd w:val="clear" w:color="auto" w:fill="auto"/>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45.53</w:t>
            </w:r>
          </w:p>
        </w:tc>
        <w:tc>
          <w:tcPr>
            <w:tcW w:w="582"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1.77</w:t>
            </w:r>
          </w:p>
        </w:tc>
        <w:tc>
          <w:tcPr>
            <w:tcW w:w="497" w:type="pct"/>
            <w:tcBorders>
              <w:top w:val="nil"/>
              <w:left w:val="nil"/>
              <w:bottom w:val="single" w:sz="8" w:space="0" w:color="auto"/>
              <w:right w:val="single" w:sz="8" w:space="0" w:color="auto"/>
            </w:tcBorders>
            <w:shd w:val="clear" w:color="auto" w:fill="auto"/>
            <w:vAlign w:val="center"/>
          </w:tcPr>
          <w:p w:rsidR="007F5F66" w:rsidRDefault="008F1B68">
            <w:pPr>
              <w:widowControl/>
              <w:jc w:val="center"/>
              <w:rPr>
                <w:rFonts w:ascii="仿宋" w:eastAsia="仿宋" w:hAnsi="仿宋"/>
                <w:color w:val="000000"/>
                <w:sz w:val="24"/>
                <w:szCs w:val="24"/>
              </w:rPr>
            </w:pPr>
            <w:r>
              <w:rPr>
                <w:rFonts w:ascii="仿宋" w:eastAsia="仿宋" w:hAnsi="仿宋"/>
                <w:color w:val="000000"/>
                <w:sz w:val="24"/>
                <w:szCs w:val="24"/>
              </w:rPr>
              <w:t>3.37</w:t>
            </w:r>
          </w:p>
        </w:tc>
      </w:tr>
    </w:tbl>
    <w:p w:rsidR="007F5F66" w:rsidRPr="008F1B68" w:rsidRDefault="007F5F66">
      <w:pPr>
        <w:jc w:val="right"/>
        <w:rPr>
          <w:rFonts w:ascii="仿宋" w:eastAsia="仿宋" w:hAnsi="仿宋"/>
          <w:color w:val="000000"/>
        </w:rPr>
      </w:pPr>
    </w:p>
    <w:p w:rsidR="007F5F66" w:rsidRDefault="00AD3B94">
      <w:pPr>
        <w:pStyle w:val="E"/>
        <w:spacing w:before="156" w:after="156"/>
        <w:ind w:firstLine="560"/>
      </w:pPr>
      <w:r>
        <w:pict>
          <v:shape id="_x0000_i1026" type="#_x0000_t75" style="width:415.5pt;height:360.75pt">
            <v:imagedata r:id="rId12" o:title="" croptop="3682f" cropbottom="4944f"/>
          </v:shape>
        </w:pict>
      </w:r>
    </w:p>
    <w:p w:rsidR="007F5F66" w:rsidRPr="008F1B68" w:rsidRDefault="008F1B68">
      <w:pPr>
        <w:pStyle w:val="F2"/>
        <w:spacing w:before="156" w:after="156"/>
        <w:ind w:left="400"/>
      </w:pPr>
      <w:bookmarkStart w:id="12" w:name="_Toc96791003"/>
      <w:r w:rsidRPr="008F1B68">
        <w:rPr>
          <w:rFonts w:hint="eastAsia"/>
        </w:rPr>
        <w:t>图</w:t>
      </w:r>
      <w:r w:rsidRPr="008F1B68">
        <w:rPr>
          <w:rFonts w:hint="eastAsia"/>
        </w:rPr>
        <w:t>1</w:t>
      </w:r>
      <w:r w:rsidRPr="008F1B68">
        <w:t>-1</w:t>
      </w:r>
      <w:r w:rsidRPr="008F1B68">
        <w:rPr>
          <w:rFonts w:hint="eastAsia"/>
        </w:rPr>
        <w:t>嵊州市耕地质量等级图</w:t>
      </w:r>
      <w:bookmarkEnd w:id="12"/>
    </w:p>
    <w:p w:rsidR="007F5F66" w:rsidRDefault="008F1B68">
      <w:pPr>
        <w:pStyle w:val="D"/>
        <w:spacing w:before="156" w:after="156"/>
        <w:ind w:firstLine="562"/>
      </w:pPr>
      <w:r>
        <w:rPr>
          <w:rFonts w:hint="eastAsia"/>
        </w:rPr>
        <w:t>3,.</w:t>
      </w:r>
      <w:r>
        <w:rPr>
          <w:rFonts w:hint="eastAsia"/>
        </w:rPr>
        <w:t>农田管理机制逐步完善</w:t>
      </w:r>
    </w:p>
    <w:p w:rsidR="007F5F66" w:rsidRDefault="008F1B68">
      <w:pPr>
        <w:pStyle w:val="E"/>
        <w:spacing w:before="156" w:after="156"/>
        <w:ind w:firstLine="560"/>
      </w:pPr>
      <w:r>
        <w:rPr>
          <w:rFonts w:hint="eastAsia"/>
        </w:rPr>
        <w:t>近十年的高标准农田建设，嵊州市各主管部门严格组织招标程</w:t>
      </w:r>
      <w:r>
        <w:rPr>
          <w:rFonts w:hint="eastAsia"/>
        </w:rPr>
        <w:lastRenderedPageBreak/>
        <w:t>序、严格督查工程实施、严格把控项目验收、严格规范资金管理，明确职责分工、项目申报、项目评审、实施管理、资金管理、项目验收及建后监管等实施细则，项目相关档案材料齐全，均完成项目各阶段信息上图入库，整体信息完备，信息化程度高，为下一步高标准农田建设及改造提升提供了数据支撑，形成上下齐抓共管高标准农田建设良好氛围。</w:t>
      </w:r>
    </w:p>
    <w:p w:rsidR="007F5F66" w:rsidRDefault="008F1B68">
      <w:pPr>
        <w:pStyle w:val="C"/>
        <w:spacing w:before="312" w:after="312"/>
      </w:pPr>
      <w:bookmarkStart w:id="13" w:name="_Toc96439413"/>
      <w:r>
        <w:rPr>
          <w:rFonts w:hint="eastAsia"/>
        </w:rPr>
        <w:t>（二）困难与问题</w:t>
      </w:r>
      <w:bookmarkEnd w:id="13"/>
    </w:p>
    <w:p w:rsidR="007F5F66" w:rsidRDefault="008F1B68">
      <w:pPr>
        <w:pStyle w:val="D"/>
        <w:spacing w:before="156" w:after="156"/>
        <w:ind w:firstLine="562"/>
      </w:pPr>
      <w:r>
        <w:rPr>
          <w:rFonts w:hint="eastAsia"/>
        </w:rPr>
        <w:t>1.</w:t>
      </w:r>
      <w:r>
        <w:rPr>
          <w:rFonts w:hint="eastAsia"/>
        </w:rPr>
        <w:t>建设高标准农田潜力殆尽</w:t>
      </w:r>
    </w:p>
    <w:p w:rsidR="007F5F66" w:rsidRDefault="008F1B68">
      <w:pPr>
        <w:pStyle w:val="E"/>
        <w:spacing w:before="156" w:after="156"/>
        <w:ind w:firstLine="560"/>
      </w:pPr>
      <w:r>
        <w:rPr>
          <w:rFonts w:hint="eastAsia"/>
        </w:rPr>
        <w:t>经过历年建设，大规模集中连片的优质耕地已经建成高标准农田，剩余潜力呈现地块分散、地块连片度低、水田比重低的特点。对比绍兴市其他县（市、区），我市已建成高标准农田占耕地和占永久基本农田的比重均排在第一，也说明我市“十四五”期间的建设任务艰巨。</w:t>
      </w:r>
    </w:p>
    <w:p w:rsidR="007F5F66" w:rsidRDefault="008F1B68">
      <w:pPr>
        <w:pStyle w:val="D"/>
        <w:spacing w:before="156" w:after="156"/>
        <w:ind w:firstLine="562"/>
      </w:pPr>
      <w:r>
        <w:t>2.</w:t>
      </w:r>
      <w:r>
        <w:rPr>
          <w:rFonts w:hint="eastAsia"/>
        </w:rPr>
        <w:t>部分</w:t>
      </w:r>
      <w:r>
        <w:t>农田基础设施有待提高</w:t>
      </w:r>
    </w:p>
    <w:p w:rsidR="007F5F66" w:rsidRPr="008F1B68" w:rsidRDefault="008F1B68">
      <w:pPr>
        <w:pStyle w:val="E"/>
        <w:spacing w:before="156" w:after="156"/>
        <w:ind w:firstLine="560"/>
      </w:pPr>
      <w:r w:rsidRPr="008F1B68">
        <w:rPr>
          <w:rFonts w:hint="eastAsia"/>
        </w:rPr>
        <w:t>“十二五”以来，基础设施状况得到明显改善，但仍存在投入资金偏少，部分项目工程覆盖面低，基础设施水平良莠不齐的问题。机构改革前，由于多部门实施，设计标准不一，整个高标准农田建设未形成统一的体系，导致连片程度不高。“十四五”时期，立足提升粮食产能首要目标，要依据区域气候特点、地形地貌、水土条件、耕作制度等因素，提出不同分区高标准农田建设的短板弱项，找准主攻方</w:t>
      </w:r>
      <w:r w:rsidRPr="008F1B68">
        <w:rPr>
          <w:rFonts w:hint="eastAsia"/>
        </w:rPr>
        <w:lastRenderedPageBreak/>
        <w:t>向和用力点，把有限的资金用在“刀刃”上，切实提升高标准农田建成后的稳产保供能力。</w:t>
      </w:r>
    </w:p>
    <w:p w:rsidR="007F5F66" w:rsidRDefault="008F1B68">
      <w:pPr>
        <w:pStyle w:val="D"/>
        <w:spacing w:before="156" w:after="156"/>
        <w:ind w:firstLine="562"/>
      </w:pPr>
      <w:r>
        <w:rPr>
          <w:rFonts w:hint="eastAsia"/>
        </w:rPr>
        <w:t>3</w:t>
      </w:r>
      <w:r>
        <w:t>.</w:t>
      </w:r>
      <w:r>
        <w:rPr>
          <w:rFonts w:hint="eastAsia"/>
        </w:rPr>
        <w:t>建后监管及用途管控仍需加强</w:t>
      </w:r>
    </w:p>
    <w:p w:rsidR="007F5F66" w:rsidRPr="008F1B68" w:rsidRDefault="008F1B68">
      <w:pPr>
        <w:pStyle w:val="E"/>
        <w:spacing w:before="156" w:after="156"/>
        <w:ind w:firstLine="560"/>
      </w:pPr>
      <w:r w:rsidRPr="008F1B68">
        <w:t>高标准农田</w:t>
      </w:r>
      <w:r w:rsidRPr="008F1B68">
        <w:rPr>
          <w:rFonts w:hint="eastAsia"/>
        </w:rPr>
        <w:t>“重建设、轻管护”的现象普遍存在，项目竣工移交后出现损毁且未得到及时修复，建后监管责任和措施不到位、管护资金不足、农田质量监测等问题较为明显，亟需建立健全高标准农田建后管护长效机制。资源要素制约日益加剧，尤其新一轮国土空间规划编制及优质耕地面积继续减少，“非粮化”现象不断加重，粮食生产形势不容乐观。</w:t>
      </w:r>
    </w:p>
    <w:p w:rsidR="007F5F66" w:rsidRDefault="008F1B68">
      <w:pPr>
        <w:pStyle w:val="C"/>
        <w:spacing w:before="312" w:after="312"/>
      </w:pPr>
      <w:bookmarkStart w:id="14" w:name="_Toc89021812"/>
      <w:bookmarkStart w:id="15" w:name="_Toc96439414"/>
      <w:bookmarkStart w:id="16" w:name="_Toc90039619"/>
      <w:r>
        <w:rPr>
          <w:rFonts w:hint="eastAsia"/>
        </w:rPr>
        <w:t>（三）发展机遇</w:t>
      </w:r>
      <w:bookmarkEnd w:id="14"/>
      <w:bookmarkEnd w:id="15"/>
      <w:bookmarkEnd w:id="16"/>
    </w:p>
    <w:p w:rsidR="007F5F66" w:rsidRDefault="008F1B68">
      <w:pPr>
        <w:pStyle w:val="D"/>
        <w:spacing w:before="156" w:after="156"/>
        <w:ind w:firstLine="562"/>
      </w:pPr>
      <w:r>
        <w:rPr>
          <w:rFonts w:hint="eastAsia"/>
        </w:rPr>
        <w:t>1</w:t>
      </w:r>
      <w:r>
        <w:t>.</w:t>
      </w:r>
      <w:r>
        <w:rPr>
          <w:rFonts w:hint="eastAsia"/>
        </w:rPr>
        <w:t>实施粮食安全战略对高标准农田建设提到了新高度</w:t>
      </w:r>
    </w:p>
    <w:p w:rsidR="007F5F66" w:rsidRPr="008F1B68" w:rsidRDefault="008F1B68">
      <w:pPr>
        <w:pStyle w:val="E"/>
        <w:spacing w:before="156" w:after="156"/>
        <w:ind w:firstLine="560"/>
      </w:pPr>
      <w:r w:rsidRPr="008F1B68">
        <w:rPr>
          <w:rFonts w:hint="eastAsia"/>
        </w:rPr>
        <w:t>中央经济工作会议、中央农村工作会议及连续多年的中央</w:t>
      </w:r>
      <w:r w:rsidRPr="008F1B68">
        <w:t>1</w:t>
      </w:r>
      <w:r w:rsidRPr="008F1B68">
        <w:rPr>
          <w:rFonts w:hint="eastAsia"/>
        </w:rPr>
        <w:t>号文件对高标准农田建设提出明确要求，国务院办公厅出台了《关于切实加强高标准农田建设提升国家粮食安全保障能力的意见》，对高标准农田建设作出系统部署，提供了强而有力的政策保障，落实稳定保障粮食产能的保供任务，共同筑牢保障国家粮食安全的坚实基础。稳定发展粮食生产，关键在于耕地。实践证明，通过高标准农田建设，优化农业生产布局，改善农田水利设施和生产道路设施，扩大农业先进适用技术和机械化装备推广应用，减轻劳动强度，提高生产经营效率，有利于提高耕地地力水平和粮食综合生产能力，促进了创造粮食生产</w:t>
      </w:r>
      <w:r w:rsidRPr="008F1B68">
        <w:rPr>
          <w:rFonts w:hint="eastAsia"/>
        </w:rPr>
        <w:lastRenderedPageBreak/>
        <w:t>扩面增产。因此，抓好高标准农田建设是全面落实国家粮食安全战略的现实需求。</w:t>
      </w:r>
    </w:p>
    <w:p w:rsidR="007F5F66" w:rsidRDefault="008F1B68">
      <w:pPr>
        <w:pStyle w:val="D"/>
        <w:spacing w:before="156" w:after="156"/>
        <w:ind w:firstLine="562"/>
      </w:pPr>
      <w:r>
        <w:rPr>
          <w:rFonts w:hint="eastAsia"/>
        </w:rPr>
        <w:t>2</w:t>
      </w:r>
      <w:r>
        <w:t>.“</w:t>
      </w:r>
      <w:r>
        <w:t>数字赋能</w:t>
      </w:r>
      <w:r>
        <w:t>”</w:t>
      </w:r>
      <w:r>
        <w:t>、</w:t>
      </w:r>
      <w:r>
        <w:rPr>
          <w:rFonts w:hint="eastAsia"/>
        </w:rPr>
        <w:t>“千万工程”、“重点工程示范”</w:t>
      </w:r>
      <w:r>
        <w:t>为</w:t>
      </w:r>
      <w:r>
        <w:rPr>
          <w:rFonts w:hint="eastAsia"/>
        </w:rPr>
        <w:t>高标准</w:t>
      </w:r>
      <w:r>
        <w:t>农田建设带来新机遇</w:t>
      </w:r>
    </w:p>
    <w:p w:rsidR="007F5F66" w:rsidRPr="008F1B68" w:rsidRDefault="008F1B68">
      <w:pPr>
        <w:pStyle w:val="E"/>
        <w:spacing w:before="156" w:after="156"/>
        <w:ind w:firstLine="560"/>
      </w:pPr>
      <w:r w:rsidRPr="008F1B68">
        <w:t>数字经济一号工程全面实施，</w:t>
      </w:r>
      <w:r w:rsidRPr="008F1B68">
        <w:t>“</w:t>
      </w:r>
      <w:r w:rsidRPr="008F1B68">
        <w:t>三农</w:t>
      </w:r>
      <w:r w:rsidRPr="008F1B68">
        <w:t>”</w:t>
      </w:r>
      <w:r w:rsidRPr="008F1B68">
        <w:t>新基建系统推进，建设农田建设</w:t>
      </w:r>
      <w:r w:rsidRPr="008F1B68">
        <w:t>“</w:t>
      </w:r>
      <w:r w:rsidRPr="008F1B68">
        <w:t>一张图</w:t>
      </w:r>
      <w:r w:rsidRPr="008F1B68">
        <w:t>”</w:t>
      </w:r>
      <w:r w:rsidRPr="008F1B68">
        <w:t>监管系统，实现农田建设数字化管理。</w:t>
      </w:r>
      <w:r w:rsidRPr="008F1B68">
        <w:rPr>
          <w:rFonts w:hint="eastAsia"/>
        </w:rPr>
        <w:t>“千万工程”让实现了“美丽资源”向“美丽经济”的有效转化，走出了一条可持续发展、绿色发展的富民之路，</w:t>
      </w:r>
      <w:r w:rsidRPr="008F1B68">
        <w:t>“</w:t>
      </w:r>
      <w:r w:rsidRPr="008F1B68">
        <w:t>千万工程</w:t>
      </w:r>
      <w:r w:rsidRPr="008F1B68">
        <w:t>”</w:t>
      </w:r>
      <w:r w:rsidRPr="008F1B68">
        <w:t>再深化对农田生态建设提出新要求，构建生态、生活、生产的农田生态系统，</w:t>
      </w:r>
      <w:r w:rsidRPr="008F1B68">
        <w:rPr>
          <w:rFonts w:hint="eastAsia"/>
        </w:rPr>
        <w:t>让“良田”必须是“粮田”。“十四五”时期，高标准农田建设必须大力引进推广先进实用技术，加强工程建设与农机农艺技术的集成和应用，推动科技创新与成果转化，因地制宜谋划一批绿色农田、数字农田、高效节水灌溉、整区推进等重点项目示范建设，引领高标准农田建设质量和效益不断提升。</w:t>
      </w:r>
    </w:p>
    <w:p w:rsidR="007F5F66" w:rsidRPr="008F1B68" w:rsidRDefault="007F5F66">
      <w:pPr>
        <w:pStyle w:val="E"/>
        <w:spacing w:before="156" w:after="156"/>
        <w:ind w:firstLine="560"/>
      </w:pPr>
    </w:p>
    <w:p w:rsidR="007F5F66" w:rsidRDefault="008F1B68">
      <w:pPr>
        <w:pStyle w:val="D"/>
        <w:spacing w:before="156" w:after="156"/>
        <w:ind w:firstLine="562"/>
      </w:pPr>
      <w:r>
        <w:rPr>
          <w:rFonts w:hint="eastAsia"/>
        </w:rPr>
        <w:t>3.</w:t>
      </w:r>
      <w:r>
        <w:rPr>
          <w:rFonts w:hint="eastAsia"/>
        </w:rPr>
        <w:t>“十四五”时期开启了高标准农田建设的新征程</w:t>
      </w:r>
    </w:p>
    <w:p w:rsidR="007F5F66" w:rsidRPr="008F1B68" w:rsidRDefault="008F1B68">
      <w:pPr>
        <w:pStyle w:val="E"/>
        <w:spacing w:before="156" w:after="156"/>
        <w:ind w:firstLine="560"/>
      </w:pPr>
      <w:r>
        <w:t>《</w:t>
      </w:r>
      <w:r>
        <w:rPr>
          <w:rFonts w:hint="eastAsia"/>
        </w:rPr>
        <w:t>嵊州市</w:t>
      </w:r>
      <w:r>
        <w:t>国民经济和社会发展第十四个五年规划和二〇三五年远景目标纲要》</w:t>
      </w:r>
      <w:r>
        <w:rPr>
          <w:rFonts w:hint="eastAsia"/>
        </w:rPr>
        <w:t>发布，“十四五”时期，嵊州市以县域现代化先行为绍兴率先走出社会主义现代化市域发展之路、全省争创社会主义现代化先行省作出新的嵊州贡献，聚焦新时代美丽乡村迭代升级，率先基本实现农业农村现代化，聚焦农民生活共同富裕，率先基本实现农民</w:t>
      </w:r>
      <w:r>
        <w:rPr>
          <w:rFonts w:hint="eastAsia"/>
        </w:rPr>
        <w:lastRenderedPageBreak/>
        <w:t>现代化。通过推动高标准农田建设高质量发展，不断改善农田基础条件和配套设施，鼓励新型农业经营主体通过规模化集约经营，从而提高单产和品质，因此，抓好高标准农田建设是我市发展现代农业的有力支撑。</w:t>
      </w:r>
    </w:p>
    <w:p w:rsidR="007F5F66" w:rsidRPr="008F1B68" w:rsidRDefault="007F5F66">
      <w:pPr>
        <w:pStyle w:val="E"/>
        <w:spacing w:before="156" w:after="156"/>
        <w:ind w:firstLine="560"/>
        <w:sectPr w:rsidR="007F5F66" w:rsidRPr="008F1B68">
          <w:pgSz w:w="11906" w:h="16838"/>
          <w:pgMar w:top="1440" w:right="1800" w:bottom="1440" w:left="1800" w:header="851" w:footer="992" w:gutter="0"/>
          <w:pgNumType w:fmt="numberInDash" w:chapStyle="1"/>
          <w:cols w:space="425"/>
          <w:docGrid w:type="lines" w:linePitch="312"/>
        </w:sectPr>
      </w:pPr>
    </w:p>
    <w:p w:rsidR="007F5F66" w:rsidRDefault="008F1B68">
      <w:pPr>
        <w:pStyle w:val="B"/>
        <w:spacing w:before="468" w:after="468"/>
      </w:pPr>
      <w:bookmarkStart w:id="17" w:name="_Toc96439415"/>
      <w:bookmarkEnd w:id="4"/>
      <w:r>
        <w:rPr>
          <w:rFonts w:hint="eastAsia"/>
        </w:rPr>
        <w:lastRenderedPageBreak/>
        <w:t>二、总体思路</w:t>
      </w:r>
      <w:bookmarkEnd w:id="17"/>
    </w:p>
    <w:p w:rsidR="007F5F66" w:rsidRDefault="008F1B68">
      <w:pPr>
        <w:pStyle w:val="E"/>
        <w:spacing w:before="156" w:after="156"/>
        <w:ind w:firstLine="560"/>
      </w:pPr>
      <w:r>
        <w:rPr>
          <w:rFonts w:hint="eastAsia"/>
        </w:rPr>
        <w:t>“十四五”时期将是嵊州进入机遇叠加、优势凸显、大有可为的时期，通过贯彻落实高标准农田建设提升粮食安全保障能力的决策部署，努力实现新阶段农业高质高效先行示范、乡村宜业宜居先行示范、农民富裕富足先行示范、城乡深度融合先行示范“四个先行示范”目标，为“重要窗口”建设增添更多的嵊州三农风景，更高水平建设实力嵊州、品质嵊州、美丽嵊州和幸福嵊州。</w:t>
      </w:r>
    </w:p>
    <w:p w:rsidR="007F5F66" w:rsidRDefault="008F1B68">
      <w:pPr>
        <w:pStyle w:val="C"/>
        <w:spacing w:before="312" w:after="312"/>
      </w:pPr>
      <w:bookmarkStart w:id="18" w:name="_Toc96439416"/>
      <w:r>
        <w:rPr>
          <w:rFonts w:hint="eastAsia"/>
        </w:rPr>
        <w:t>（一）指导思想</w:t>
      </w:r>
      <w:bookmarkEnd w:id="18"/>
    </w:p>
    <w:p w:rsidR="007F5F66" w:rsidRPr="008F1B68" w:rsidRDefault="008F1B68">
      <w:pPr>
        <w:pStyle w:val="E"/>
        <w:spacing w:before="156" w:after="156"/>
        <w:ind w:firstLine="560"/>
      </w:pPr>
      <w:r w:rsidRPr="008F1B68">
        <w:rPr>
          <w:rFonts w:hint="eastAsia"/>
        </w:rPr>
        <w:t>以习近平新时代中国特色社会主义思想为指导，紧紧围绕推进乡村振兴、加快农业农村现代化，以推动农业高质量发展为主题，深入实施</w:t>
      </w:r>
      <w:r w:rsidRPr="008F1B68">
        <w:t>“</w:t>
      </w:r>
      <w:r w:rsidRPr="008F1B68">
        <w:rPr>
          <w:rFonts w:hint="eastAsia"/>
        </w:rPr>
        <w:t>藏粮于地、藏粮于技</w:t>
      </w:r>
      <w:r w:rsidRPr="008F1B68">
        <w:t>”</w:t>
      </w:r>
      <w:r w:rsidRPr="008F1B68">
        <w:rPr>
          <w:rFonts w:hint="eastAsia"/>
        </w:rPr>
        <w:t>战略，以提升粮食产能为首要目标，以永久基本农田、粮食生产功能区为重点区域，切实补齐农业基础设施短板，坚持新增建设和改造提升并重、建设数量和建成质量并重、工程建设与建后管护并重，产能提升和绿色发展相协调，高质量建设和高效率管理高标准农田，统筹协调各方面力量，合力推进高标准农田建设，促进农业增效、农民增收、农村发展，夯实乡村振兴的基础。</w:t>
      </w:r>
    </w:p>
    <w:p w:rsidR="007F5F66" w:rsidRDefault="008F1B68">
      <w:pPr>
        <w:pStyle w:val="C"/>
        <w:spacing w:before="312" w:after="312"/>
        <w:rPr>
          <w:rStyle w:val="EChar"/>
          <w:iCs w:val="0"/>
          <w:color w:val="auto"/>
          <w:sz w:val="30"/>
        </w:rPr>
      </w:pPr>
      <w:bookmarkStart w:id="19" w:name="_Toc96439417"/>
      <w:r>
        <w:rPr>
          <w:rStyle w:val="EChar"/>
          <w:rFonts w:hint="eastAsia"/>
          <w:iCs w:val="0"/>
          <w:color w:val="auto"/>
          <w:sz w:val="30"/>
        </w:rPr>
        <w:t>（二）基本原则</w:t>
      </w:r>
      <w:bookmarkEnd w:id="19"/>
    </w:p>
    <w:p w:rsidR="007F5F66" w:rsidRPr="008F1B68" w:rsidRDefault="008F1B68">
      <w:pPr>
        <w:pStyle w:val="E"/>
        <w:spacing w:before="156" w:after="156"/>
        <w:ind w:firstLine="560"/>
      </w:pPr>
      <w:r w:rsidRPr="008F1B68">
        <w:rPr>
          <w:rFonts w:hint="eastAsia"/>
        </w:rPr>
        <w:t>——政府主导、多方参与。切实落实政府责任，加强政府投入保障，提高资金配置效率和使用效益。尊重农民意愿，维护农民权益，</w:t>
      </w:r>
      <w:r w:rsidRPr="008F1B68">
        <w:rPr>
          <w:rFonts w:hint="eastAsia"/>
        </w:rPr>
        <w:lastRenderedPageBreak/>
        <w:t>鼓励农民群众、新型农业经营主体和农村集体经济组织自主筹资投劳，参与农田建设和管护，引导社会资本积极投入高标准农田建设。</w:t>
      </w:r>
    </w:p>
    <w:p w:rsidR="007F5F66" w:rsidRPr="008F1B68" w:rsidRDefault="008F1B68">
      <w:pPr>
        <w:pStyle w:val="E"/>
        <w:spacing w:before="156" w:after="156"/>
        <w:ind w:firstLine="560"/>
      </w:pPr>
      <w:r w:rsidRPr="008F1B68">
        <w:rPr>
          <w:rFonts w:hint="eastAsia"/>
        </w:rPr>
        <w:t>——规划衔接、科学布局。注重衔接国土空间、乡村振兴、生态环境、水利和交通等相关规划，以永久基本农田为基础，优先在粮食生产功能区，合理配置农田建设任务指标。</w:t>
      </w:r>
    </w:p>
    <w:p w:rsidR="007F5F66" w:rsidRPr="008F1B68" w:rsidRDefault="008F1B68">
      <w:pPr>
        <w:pStyle w:val="E"/>
        <w:spacing w:before="156" w:after="156"/>
        <w:ind w:firstLine="560"/>
      </w:pPr>
      <w:r w:rsidRPr="008F1B68">
        <w:rPr>
          <w:rFonts w:hint="eastAsia"/>
        </w:rPr>
        <w:t>——建改并举、注重质量。落实高质量发展要求，在保质保量完成高标准农田建设任务的基础上，合理安排已建高标准农田改造提升，切实解决部分已建高标准农田设施不配套、工程老化、建设标准低等问题，有效提升高标准农田建设质量。</w:t>
      </w:r>
    </w:p>
    <w:p w:rsidR="007F5F66" w:rsidRPr="008F1B68" w:rsidRDefault="008F1B68">
      <w:pPr>
        <w:pStyle w:val="E"/>
        <w:spacing w:before="156" w:after="156"/>
        <w:ind w:firstLine="560"/>
      </w:pPr>
      <w:r w:rsidRPr="008F1B68">
        <w:rPr>
          <w:rFonts w:hint="eastAsia"/>
        </w:rPr>
        <w:t>——因地制宜、综合配套。根据自然资源禀赋、农业生产特征及生产主要障碍因素，因地制宜确定建设重点与内容，统筹推进田、土、水、路、林、电、技、管综合治理，完善农田基础设施，实现综合配套，满足现代农业发展需要。</w:t>
      </w:r>
    </w:p>
    <w:p w:rsidR="007F5F66" w:rsidRPr="008F1B68" w:rsidRDefault="008F1B68">
      <w:pPr>
        <w:pStyle w:val="E"/>
        <w:spacing w:before="156" w:after="156"/>
        <w:ind w:firstLine="560"/>
      </w:pPr>
      <w:r w:rsidRPr="008F1B68">
        <w:rPr>
          <w:rFonts w:hint="eastAsia"/>
        </w:rPr>
        <w:t>——绿色生态、注重效益。将绿色发展理念贯穿于高标准农田建设全过程，切实加强水土资源集约节约利用和生态环境保护，强化耕地质量保护与提升，实现农业生产与生态保护相协调，提升农业可持续发展能力。提升高效生态农业综合效益，探索绿色转化和品牌强农战略的实现路径。</w:t>
      </w:r>
    </w:p>
    <w:p w:rsidR="007F5F66" w:rsidRPr="008F1B68" w:rsidRDefault="008F1B68">
      <w:pPr>
        <w:pStyle w:val="E"/>
        <w:spacing w:before="156" w:after="156"/>
        <w:ind w:firstLine="560"/>
      </w:pPr>
      <w:r w:rsidRPr="008F1B68">
        <w:rPr>
          <w:rFonts w:hint="eastAsia"/>
        </w:rPr>
        <w:t>——数字赋能、建管并重。</w:t>
      </w:r>
      <w:r w:rsidRPr="008F1B68">
        <w:rPr>
          <w:rFonts w:cs="Times New Roman" w:hint="eastAsia"/>
          <w:szCs w:val="28"/>
        </w:rPr>
        <w:t>推进智能化数字化生产经营管理应用示范，</w:t>
      </w:r>
      <w:r w:rsidRPr="008F1B68">
        <w:rPr>
          <w:rFonts w:hint="eastAsia"/>
          <w:szCs w:val="28"/>
        </w:rPr>
        <w:t>加强工程管护、督查指导和监测评价的数字化应用。</w:t>
      </w:r>
      <w:r w:rsidRPr="008F1B68">
        <w:rPr>
          <w:rFonts w:hint="eastAsia"/>
        </w:rPr>
        <w:t>对建成的高标准农田实行严格保护，全面上图入库，强化用途管控。完善管护</w:t>
      </w:r>
      <w:r w:rsidRPr="008F1B68">
        <w:rPr>
          <w:rFonts w:hint="eastAsia"/>
        </w:rPr>
        <w:lastRenderedPageBreak/>
        <w:t>机制，落实管护主体和管护经费，确保工程长久发挥效益。</w:t>
      </w:r>
    </w:p>
    <w:p w:rsidR="007F5F66" w:rsidRDefault="008F1B68">
      <w:pPr>
        <w:pStyle w:val="C"/>
        <w:spacing w:before="312" w:after="312"/>
        <w:rPr>
          <w:rStyle w:val="EChar"/>
          <w:iCs w:val="0"/>
          <w:color w:val="auto"/>
          <w:sz w:val="30"/>
        </w:rPr>
      </w:pPr>
      <w:bookmarkStart w:id="20" w:name="_Toc96439418"/>
      <w:r>
        <w:rPr>
          <w:rStyle w:val="EChar"/>
          <w:rFonts w:hint="eastAsia"/>
          <w:iCs w:val="0"/>
          <w:color w:val="auto"/>
          <w:sz w:val="30"/>
        </w:rPr>
        <w:t>（三）目标和任务</w:t>
      </w:r>
      <w:bookmarkEnd w:id="20"/>
    </w:p>
    <w:p w:rsidR="007F5F66" w:rsidRDefault="008F1B68">
      <w:pPr>
        <w:pStyle w:val="E"/>
        <w:spacing w:before="156" w:after="156"/>
        <w:ind w:firstLine="560"/>
      </w:pPr>
      <w:r>
        <w:rPr>
          <w:rFonts w:hint="eastAsia"/>
        </w:rPr>
        <w:t>围绕提升粮食综合生产能力，集中力量打造集中连片、旱涝保收、节水高效、稳产高产、生态友好的高标准农田，其中</w:t>
      </w:r>
      <w:r>
        <w:rPr>
          <w:rFonts w:hint="eastAsia"/>
        </w:rPr>
        <w:t>2021</w:t>
      </w:r>
      <w:r>
        <w:rPr>
          <w:rFonts w:hint="eastAsia"/>
        </w:rPr>
        <w:t>～</w:t>
      </w:r>
      <w:r>
        <w:rPr>
          <w:rFonts w:hint="eastAsia"/>
        </w:rPr>
        <w:t>2022</w:t>
      </w:r>
      <w:r>
        <w:rPr>
          <w:rFonts w:hint="eastAsia"/>
        </w:rPr>
        <w:t>年以完成新建任务为主，适当开展改造提升项目；</w:t>
      </w:r>
      <w:r>
        <w:rPr>
          <w:rFonts w:hint="eastAsia"/>
        </w:rPr>
        <w:t>2023</w:t>
      </w:r>
      <w:r>
        <w:rPr>
          <w:rFonts w:hint="eastAsia"/>
        </w:rPr>
        <w:t>～</w:t>
      </w:r>
      <w:r>
        <w:rPr>
          <w:rFonts w:hint="eastAsia"/>
        </w:rPr>
        <w:t>2025</w:t>
      </w:r>
      <w:r>
        <w:rPr>
          <w:rFonts w:hint="eastAsia"/>
        </w:rPr>
        <w:t>年全面实施改造提升项目，同时推动绿色农田示范、数字农田示范、高效节水灌溉与改造提升项目统筹实施。</w:t>
      </w:r>
    </w:p>
    <w:p w:rsidR="007F5F66" w:rsidRDefault="008F1B68">
      <w:pPr>
        <w:pStyle w:val="E"/>
        <w:spacing w:before="156" w:after="156"/>
        <w:ind w:firstLine="562"/>
      </w:pPr>
      <w:r>
        <w:rPr>
          <w:rFonts w:hint="eastAsia"/>
          <w:b/>
        </w:rPr>
        <w:t>1.</w:t>
      </w:r>
      <w:r>
        <w:rPr>
          <w:rFonts w:hint="eastAsia"/>
          <w:b/>
        </w:rPr>
        <w:t>约束性指标。</w:t>
      </w:r>
      <w:r>
        <w:rPr>
          <w:rFonts w:hint="eastAsia"/>
        </w:rPr>
        <w:t>到</w:t>
      </w:r>
      <w:r>
        <w:t>2025</w:t>
      </w:r>
      <w:r>
        <w:rPr>
          <w:rFonts w:hint="eastAsia"/>
        </w:rPr>
        <w:t>年，全市累计建成高标准农田</w:t>
      </w:r>
      <w:r>
        <w:rPr>
          <w:rFonts w:hint="eastAsia"/>
        </w:rPr>
        <w:t>54.14</w:t>
      </w:r>
      <w:r>
        <w:rPr>
          <w:rFonts w:hint="eastAsia"/>
        </w:rPr>
        <w:t>万亩，其中，新建高标农田</w:t>
      </w:r>
      <w:r>
        <w:rPr>
          <w:rFonts w:hint="eastAsia"/>
        </w:rPr>
        <w:t>2.40</w:t>
      </w:r>
      <w:r>
        <w:rPr>
          <w:rFonts w:hint="eastAsia"/>
        </w:rPr>
        <w:t>万亩，改造提升</w:t>
      </w:r>
      <w:r>
        <w:rPr>
          <w:rFonts w:hint="eastAsia"/>
        </w:rPr>
        <w:t>4.85</w:t>
      </w:r>
      <w:r>
        <w:rPr>
          <w:rFonts w:hint="eastAsia"/>
        </w:rPr>
        <w:t>万亩，新增高效节水灌溉面积</w:t>
      </w:r>
      <w:r>
        <w:rPr>
          <w:rFonts w:hint="eastAsia"/>
        </w:rPr>
        <w:t>0.54</w:t>
      </w:r>
      <w:r>
        <w:rPr>
          <w:rFonts w:hint="eastAsia"/>
        </w:rPr>
        <w:t>万亩。</w:t>
      </w:r>
    </w:p>
    <w:p w:rsidR="007F5F66" w:rsidRDefault="008F1B68">
      <w:pPr>
        <w:pStyle w:val="E"/>
        <w:spacing w:before="156" w:after="156"/>
        <w:ind w:firstLine="562"/>
      </w:pPr>
      <w:r>
        <w:rPr>
          <w:rFonts w:hint="eastAsia"/>
          <w:b/>
        </w:rPr>
        <w:t>2.</w:t>
      </w:r>
      <w:r>
        <w:rPr>
          <w:rFonts w:hint="eastAsia"/>
          <w:b/>
        </w:rPr>
        <w:t>预期性指标。</w:t>
      </w:r>
      <w:r>
        <w:rPr>
          <w:rFonts w:hint="eastAsia"/>
        </w:rPr>
        <w:t>新增高标准农田亩均产能提高</w:t>
      </w:r>
      <w:r>
        <w:rPr>
          <w:rFonts w:hint="eastAsia"/>
        </w:rPr>
        <w:t>100</w:t>
      </w:r>
      <w:r>
        <w:rPr>
          <w:rFonts w:hint="eastAsia"/>
        </w:rPr>
        <w:t>公斤以上，新增高标准农田亩均产能提高</w:t>
      </w:r>
      <w:r>
        <w:rPr>
          <w:rFonts w:hint="eastAsia"/>
        </w:rPr>
        <w:t>100</w:t>
      </w:r>
      <w:r>
        <w:rPr>
          <w:rFonts w:hint="eastAsia"/>
        </w:rPr>
        <w:t>公斤以上，抗御自然灾害能力上平均降低粮食水灾旱灾损失率</w:t>
      </w:r>
      <w:r>
        <w:rPr>
          <w:rFonts w:hint="eastAsia"/>
        </w:rPr>
        <w:t>12.5%</w:t>
      </w:r>
      <w:r>
        <w:rPr>
          <w:rFonts w:hint="eastAsia"/>
        </w:rPr>
        <w:t>，建成高标准农田上图入库覆盖率达到</w:t>
      </w:r>
      <w:r>
        <w:rPr>
          <w:rFonts w:hint="eastAsia"/>
        </w:rPr>
        <w:t>100%</w:t>
      </w:r>
      <w:r>
        <w:rPr>
          <w:rFonts w:hint="eastAsia"/>
        </w:rPr>
        <w:t>，永久基本农田中高标准农田的比例达到</w:t>
      </w:r>
      <w:r>
        <w:rPr>
          <w:rFonts w:hint="eastAsia"/>
        </w:rPr>
        <w:t>80%</w:t>
      </w:r>
      <w:r>
        <w:rPr>
          <w:rFonts w:hint="eastAsia"/>
        </w:rPr>
        <w:t>以上，粮食生产功能区中高标准农田的比例达到</w:t>
      </w:r>
      <w:r>
        <w:rPr>
          <w:rFonts w:hint="eastAsia"/>
        </w:rPr>
        <w:t>100%</w:t>
      </w:r>
      <w:r>
        <w:rPr>
          <w:rFonts w:hint="eastAsia"/>
        </w:rPr>
        <w:t>，同时推动绿色农田示范工程、数字农田示范工程、高效节水灌溉示范工程、整区推进示范工程与高标准农田建设统筹实施。</w:t>
      </w:r>
    </w:p>
    <w:p w:rsidR="007F5F66" w:rsidRDefault="008F1B68">
      <w:pPr>
        <w:pStyle w:val="F2"/>
        <w:spacing w:before="156" w:after="156"/>
      </w:pPr>
      <w:bookmarkStart w:id="21" w:name="_Toc85385411"/>
      <w:bookmarkStart w:id="22" w:name="_Toc96791004"/>
      <w:r>
        <w:rPr>
          <w:rFonts w:hint="eastAsia"/>
        </w:rPr>
        <w:t>表</w:t>
      </w:r>
      <w:r>
        <w:rPr>
          <w:rFonts w:hint="eastAsia"/>
        </w:rPr>
        <w:t>2-1</w:t>
      </w:r>
      <w:r>
        <w:t xml:space="preserve"> </w:t>
      </w:r>
      <w:r>
        <w:rPr>
          <w:rFonts w:hint="eastAsia"/>
        </w:rPr>
        <w:t>嵊州市</w:t>
      </w:r>
      <w:r>
        <w:t>“</w:t>
      </w:r>
      <w:r>
        <w:rPr>
          <w:rFonts w:hint="eastAsia"/>
        </w:rPr>
        <w:t>十四五</w:t>
      </w:r>
      <w:r>
        <w:t>”</w:t>
      </w:r>
      <w:r>
        <w:rPr>
          <w:rFonts w:hint="eastAsia"/>
        </w:rPr>
        <w:t>高标准农田建设指标表</w:t>
      </w:r>
      <w:bookmarkEnd w:id="21"/>
      <w:bookmarkEnd w:id="22"/>
      <w:r>
        <w:t xml:space="preserve"> </w:t>
      </w:r>
    </w:p>
    <w:tbl>
      <w:tblPr>
        <w:tblW w:w="5000" w:type="pct"/>
        <w:tblLook w:val="04A0" w:firstRow="1" w:lastRow="0" w:firstColumn="1" w:lastColumn="0" w:noHBand="0" w:noVBand="1"/>
      </w:tblPr>
      <w:tblGrid>
        <w:gridCol w:w="446"/>
        <w:gridCol w:w="2105"/>
        <w:gridCol w:w="3653"/>
        <w:gridCol w:w="2318"/>
      </w:tblGrid>
      <w:tr w:rsidR="007F5F66">
        <w:trPr>
          <w:trHeight w:val="399"/>
          <w:tblHead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序号 </w:t>
            </w:r>
          </w:p>
        </w:tc>
        <w:tc>
          <w:tcPr>
            <w:tcW w:w="1235"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指标 </w:t>
            </w:r>
          </w:p>
        </w:tc>
        <w:tc>
          <w:tcPr>
            <w:tcW w:w="2143"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目标值 </w:t>
            </w:r>
          </w:p>
        </w:tc>
        <w:tc>
          <w:tcPr>
            <w:tcW w:w="1360"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属性 </w:t>
            </w:r>
          </w:p>
        </w:tc>
      </w:tr>
      <w:tr w:rsidR="007F5F66">
        <w:trPr>
          <w:trHeight w:val="399"/>
        </w:trPr>
        <w:tc>
          <w:tcPr>
            <w:tcW w:w="262"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1</w:t>
            </w:r>
          </w:p>
        </w:tc>
        <w:tc>
          <w:tcPr>
            <w:tcW w:w="1235"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高标准农田保有量</w:t>
            </w:r>
          </w:p>
        </w:tc>
        <w:tc>
          <w:tcPr>
            <w:tcW w:w="2143"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到2025年54.14万亩</w:t>
            </w:r>
          </w:p>
        </w:tc>
        <w:tc>
          <w:tcPr>
            <w:tcW w:w="1360"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约束性 </w:t>
            </w:r>
          </w:p>
        </w:tc>
      </w:tr>
      <w:tr w:rsidR="007F5F66">
        <w:trPr>
          <w:trHeight w:val="399"/>
        </w:trPr>
        <w:tc>
          <w:tcPr>
            <w:tcW w:w="262"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2</w:t>
            </w:r>
          </w:p>
        </w:tc>
        <w:tc>
          <w:tcPr>
            <w:tcW w:w="1235"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新建高标准农田面</w:t>
            </w:r>
            <w:r>
              <w:rPr>
                <w:rFonts w:ascii="仿宋" w:eastAsia="仿宋" w:hAnsi="仿宋" w:cs="宋体" w:hint="eastAsia"/>
                <w:color w:val="000000"/>
                <w:sz w:val="23"/>
                <w:szCs w:val="23"/>
              </w:rPr>
              <w:lastRenderedPageBreak/>
              <w:t>积</w:t>
            </w:r>
          </w:p>
        </w:tc>
        <w:tc>
          <w:tcPr>
            <w:tcW w:w="2143"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lastRenderedPageBreak/>
              <w:t>2021-2022年2.40万亩</w:t>
            </w:r>
          </w:p>
        </w:tc>
        <w:tc>
          <w:tcPr>
            <w:tcW w:w="1360"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约束性 </w:t>
            </w:r>
          </w:p>
        </w:tc>
      </w:tr>
      <w:tr w:rsidR="007F5F66">
        <w:trPr>
          <w:trHeight w:val="399"/>
        </w:trPr>
        <w:tc>
          <w:tcPr>
            <w:tcW w:w="262"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3</w:t>
            </w:r>
          </w:p>
        </w:tc>
        <w:tc>
          <w:tcPr>
            <w:tcW w:w="1235"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已建高标准农田改造提升面积</w:t>
            </w:r>
          </w:p>
        </w:tc>
        <w:tc>
          <w:tcPr>
            <w:tcW w:w="2143"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2021-2025年4.87万亩</w:t>
            </w:r>
          </w:p>
        </w:tc>
        <w:tc>
          <w:tcPr>
            <w:tcW w:w="1360"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约束性 </w:t>
            </w:r>
          </w:p>
        </w:tc>
      </w:tr>
      <w:tr w:rsidR="007F5F66">
        <w:trPr>
          <w:trHeight w:val="399"/>
        </w:trPr>
        <w:tc>
          <w:tcPr>
            <w:tcW w:w="262" w:type="pct"/>
            <w:vMerge w:val="restart"/>
            <w:tcBorders>
              <w:top w:val="nil"/>
              <w:left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4</w:t>
            </w:r>
          </w:p>
        </w:tc>
        <w:tc>
          <w:tcPr>
            <w:tcW w:w="1235" w:type="pct"/>
            <w:vMerge w:val="restart"/>
            <w:tcBorders>
              <w:top w:val="nil"/>
              <w:left w:val="nil"/>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新增粮食综合生产能力</w:t>
            </w:r>
          </w:p>
        </w:tc>
        <w:tc>
          <w:tcPr>
            <w:tcW w:w="2143"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新增高标准农田亩均产能提高100公斤以上</w:t>
            </w:r>
          </w:p>
        </w:tc>
        <w:tc>
          <w:tcPr>
            <w:tcW w:w="1360" w:type="pct"/>
            <w:vMerge w:val="restart"/>
            <w:tcBorders>
              <w:top w:val="nil"/>
              <w:left w:val="nil"/>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预期性 </w:t>
            </w:r>
          </w:p>
        </w:tc>
      </w:tr>
      <w:tr w:rsidR="007F5F66">
        <w:trPr>
          <w:trHeight w:val="324"/>
        </w:trPr>
        <w:tc>
          <w:tcPr>
            <w:tcW w:w="262" w:type="pct"/>
            <w:vMerge/>
            <w:tcBorders>
              <w:left w:val="single" w:sz="4" w:space="0" w:color="auto"/>
              <w:bottom w:val="single" w:sz="4" w:space="0" w:color="auto"/>
              <w:right w:val="single" w:sz="4" w:space="0" w:color="auto"/>
            </w:tcBorders>
            <w:shd w:val="clear" w:color="auto" w:fill="auto"/>
            <w:vAlign w:val="center"/>
          </w:tcPr>
          <w:p w:rsidR="007F5F66" w:rsidRDefault="007F5F66">
            <w:pPr>
              <w:widowControl/>
              <w:jc w:val="center"/>
              <w:rPr>
                <w:rFonts w:ascii="仿宋" w:eastAsia="仿宋" w:hAnsi="仿宋" w:cs="宋体"/>
                <w:sz w:val="24"/>
                <w:szCs w:val="24"/>
              </w:rPr>
            </w:pPr>
          </w:p>
        </w:tc>
        <w:tc>
          <w:tcPr>
            <w:tcW w:w="1235" w:type="pct"/>
            <w:vMerge/>
            <w:tcBorders>
              <w:left w:val="nil"/>
              <w:bottom w:val="single" w:sz="4" w:space="0" w:color="auto"/>
              <w:right w:val="single" w:sz="4" w:space="0" w:color="auto"/>
            </w:tcBorders>
            <w:shd w:val="clear" w:color="auto" w:fill="auto"/>
            <w:vAlign w:val="center"/>
          </w:tcPr>
          <w:p w:rsidR="007F5F66" w:rsidRDefault="007F5F66">
            <w:pPr>
              <w:widowControl/>
              <w:jc w:val="center"/>
              <w:rPr>
                <w:rFonts w:ascii="仿宋" w:eastAsia="仿宋" w:hAnsi="仿宋" w:cs="宋体"/>
                <w:sz w:val="24"/>
                <w:szCs w:val="24"/>
              </w:rPr>
            </w:pPr>
          </w:p>
        </w:tc>
        <w:tc>
          <w:tcPr>
            <w:tcW w:w="2143"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改造提升高标准农田产能不低于当地高标准农田产能的平均水平 </w:t>
            </w:r>
          </w:p>
        </w:tc>
        <w:tc>
          <w:tcPr>
            <w:tcW w:w="1360" w:type="pct"/>
            <w:vMerge/>
            <w:tcBorders>
              <w:left w:val="nil"/>
              <w:bottom w:val="single" w:sz="4" w:space="0" w:color="auto"/>
              <w:right w:val="single" w:sz="4" w:space="0" w:color="auto"/>
            </w:tcBorders>
            <w:shd w:val="clear" w:color="auto" w:fill="auto"/>
            <w:vAlign w:val="center"/>
          </w:tcPr>
          <w:p w:rsidR="007F5F66" w:rsidRDefault="007F5F66">
            <w:pPr>
              <w:widowControl/>
              <w:jc w:val="center"/>
              <w:rPr>
                <w:rFonts w:ascii="仿宋" w:eastAsia="仿宋" w:hAnsi="仿宋" w:cs="宋体"/>
                <w:sz w:val="24"/>
                <w:szCs w:val="24"/>
              </w:rPr>
            </w:pPr>
          </w:p>
        </w:tc>
      </w:tr>
      <w:tr w:rsidR="007F5F66">
        <w:trPr>
          <w:trHeight w:val="399"/>
        </w:trPr>
        <w:tc>
          <w:tcPr>
            <w:tcW w:w="262"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5</w:t>
            </w:r>
          </w:p>
        </w:tc>
        <w:tc>
          <w:tcPr>
            <w:tcW w:w="1235"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抗御自然灾害能力</w:t>
            </w:r>
          </w:p>
        </w:tc>
        <w:tc>
          <w:tcPr>
            <w:tcW w:w="2143"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平均降低粮食水灾旱灾损失率12.5% </w:t>
            </w:r>
          </w:p>
        </w:tc>
        <w:tc>
          <w:tcPr>
            <w:tcW w:w="1360"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预期性 </w:t>
            </w:r>
          </w:p>
        </w:tc>
      </w:tr>
      <w:tr w:rsidR="007F5F66">
        <w:trPr>
          <w:trHeight w:val="399"/>
        </w:trPr>
        <w:tc>
          <w:tcPr>
            <w:tcW w:w="262"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6</w:t>
            </w:r>
          </w:p>
        </w:tc>
        <w:tc>
          <w:tcPr>
            <w:tcW w:w="1235"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建成高标准农田上图入库覆盖率</w:t>
            </w:r>
          </w:p>
        </w:tc>
        <w:tc>
          <w:tcPr>
            <w:tcW w:w="2143"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实现100%全覆盖 </w:t>
            </w:r>
          </w:p>
        </w:tc>
        <w:tc>
          <w:tcPr>
            <w:tcW w:w="1360"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预期性 </w:t>
            </w:r>
          </w:p>
        </w:tc>
      </w:tr>
      <w:tr w:rsidR="007F5F66">
        <w:trPr>
          <w:trHeight w:val="399"/>
        </w:trPr>
        <w:tc>
          <w:tcPr>
            <w:tcW w:w="262"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7</w:t>
            </w:r>
          </w:p>
        </w:tc>
        <w:tc>
          <w:tcPr>
            <w:tcW w:w="1235"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永久基本农田中高标准农田的比例</w:t>
            </w:r>
          </w:p>
        </w:tc>
        <w:tc>
          <w:tcPr>
            <w:tcW w:w="2143"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85%</w:t>
            </w:r>
          </w:p>
        </w:tc>
        <w:tc>
          <w:tcPr>
            <w:tcW w:w="1360"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预期性 </w:t>
            </w:r>
          </w:p>
        </w:tc>
      </w:tr>
      <w:tr w:rsidR="007F5F66">
        <w:trPr>
          <w:trHeight w:val="399"/>
        </w:trPr>
        <w:tc>
          <w:tcPr>
            <w:tcW w:w="262"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8</w:t>
            </w:r>
          </w:p>
        </w:tc>
        <w:tc>
          <w:tcPr>
            <w:tcW w:w="1235"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粮食生产功能区中高标准农田的比例 </w:t>
            </w:r>
          </w:p>
        </w:tc>
        <w:tc>
          <w:tcPr>
            <w:tcW w:w="2143"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100%</w:t>
            </w:r>
          </w:p>
        </w:tc>
        <w:tc>
          <w:tcPr>
            <w:tcW w:w="1360"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 xml:space="preserve">预期性 </w:t>
            </w:r>
          </w:p>
        </w:tc>
      </w:tr>
    </w:tbl>
    <w:p w:rsidR="007F5F66" w:rsidRDefault="008F1B68">
      <w:pPr>
        <w:pStyle w:val="C"/>
        <w:spacing w:before="312" w:after="312"/>
        <w:rPr>
          <w:rStyle w:val="EChar"/>
          <w:iCs w:val="0"/>
          <w:color w:val="auto"/>
          <w:sz w:val="30"/>
        </w:rPr>
      </w:pPr>
      <w:bookmarkStart w:id="23" w:name="_Toc96439419"/>
      <w:r>
        <w:rPr>
          <w:rStyle w:val="EChar"/>
          <w:rFonts w:hint="eastAsia"/>
          <w:iCs w:val="0"/>
          <w:color w:val="auto"/>
          <w:sz w:val="30"/>
        </w:rPr>
        <w:t>（四）项目类型及选址要求</w:t>
      </w:r>
      <w:bookmarkEnd w:id="23"/>
    </w:p>
    <w:p w:rsidR="007F5F66" w:rsidRDefault="008F1B68">
      <w:pPr>
        <w:pStyle w:val="E"/>
        <w:spacing w:before="156" w:after="156"/>
        <w:ind w:firstLine="560"/>
      </w:pPr>
      <w:r>
        <w:rPr>
          <w:rFonts w:hint="eastAsia"/>
        </w:rPr>
        <w:t>本次规划项目类型分为：新建类、改造提升类和示范区类。</w:t>
      </w:r>
    </w:p>
    <w:p w:rsidR="007F5F66" w:rsidRDefault="008F1B68">
      <w:pPr>
        <w:pStyle w:val="D"/>
        <w:spacing w:before="156" w:after="156"/>
        <w:ind w:firstLine="562"/>
      </w:pPr>
      <w:r>
        <w:rPr>
          <w:rFonts w:hint="eastAsia"/>
        </w:rPr>
        <w:t>1.</w:t>
      </w:r>
      <w:r>
        <w:rPr>
          <w:rFonts w:hint="eastAsia"/>
        </w:rPr>
        <w:t>新建类</w:t>
      </w:r>
    </w:p>
    <w:p w:rsidR="007F5F66" w:rsidRPr="008F1B68" w:rsidRDefault="008F1B68">
      <w:pPr>
        <w:pStyle w:val="E"/>
        <w:spacing w:before="156" w:after="156"/>
        <w:ind w:firstLine="560"/>
      </w:pPr>
      <w:r>
        <w:rPr>
          <w:rFonts w:hint="eastAsia"/>
        </w:rPr>
        <w:t>新建高标准农田项目集中于</w:t>
      </w:r>
      <w:r>
        <w:rPr>
          <w:rFonts w:hint="eastAsia"/>
        </w:rPr>
        <w:t>2021</w:t>
      </w:r>
      <w:r>
        <w:rPr>
          <w:rFonts w:hint="eastAsia"/>
        </w:rPr>
        <w:t>年</w:t>
      </w:r>
      <w:r w:rsidRPr="008F1B68">
        <w:rPr>
          <w:rFonts w:hint="eastAsia"/>
        </w:rPr>
        <w:t>～</w:t>
      </w:r>
      <w:r>
        <w:rPr>
          <w:rFonts w:hint="eastAsia"/>
        </w:rPr>
        <w:t>2022</w:t>
      </w:r>
      <w:r>
        <w:rPr>
          <w:rFonts w:hint="eastAsia"/>
        </w:rPr>
        <w:t>年完成，区块要求明确四至坐标范围，确保项目精准落地、</w:t>
      </w:r>
      <w:r w:rsidRPr="008F1B68">
        <w:rPr>
          <w:rFonts w:hint="eastAsia"/>
          <w:lang w:bidi="ar"/>
        </w:rPr>
        <w:t>按照相对集中连片、整体推进的要求开</w:t>
      </w:r>
      <w:bookmarkStart w:id="24" w:name="_GoBack"/>
      <w:bookmarkEnd w:id="24"/>
      <w:r w:rsidRPr="008F1B68">
        <w:rPr>
          <w:rFonts w:hint="eastAsia"/>
          <w:lang w:bidi="ar"/>
        </w:rPr>
        <w:t>展高标准农田建设，项目选址时禁止在已上图入库的高标准农田地块以及相关部门立项建设的高标准农田地块重复建设。</w:t>
      </w:r>
    </w:p>
    <w:p w:rsidR="007F5F66" w:rsidRPr="008F1B68" w:rsidRDefault="008F1B68">
      <w:pPr>
        <w:pStyle w:val="E"/>
        <w:spacing w:before="156" w:after="156"/>
        <w:ind w:firstLine="560"/>
      </w:pPr>
      <w:r w:rsidRPr="008F1B68">
        <w:rPr>
          <w:rFonts w:hint="eastAsia"/>
        </w:rPr>
        <w:t>（</w:t>
      </w:r>
      <w:r w:rsidRPr="008F1B68">
        <w:t>1</w:t>
      </w:r>
      <w:r w:rsidRPr="008F1B68">
        <w:rPr>
          <w:rFonts w:hint="eastAsia"/>
        </w:rPr>
        <w:t>）应优先开展高标准农田补建或新建的地块：“三调”数据中稳定耕地，划入永久基本农田保护的耕地，划入粮食生产功能区和重要农产品生产保护区的耕地，粮食、棉花、油料、糖料和蔬菜等农作物种植田；新垦造耕地。</w:t>
      </w:r>
    </w:p>
    <w:p w:rsidR="007F5F66" w:rsidRPr="008F1B68" w:rsidRDefault="008F1B68">
      <w:pPr>
        <w:pStyle w:val="E"/>
        <w:spacing w:before="156" w:after="156"/>
        <w:ind w:firstLine="560"/>
      </w:pPr>
      <w:r w:rsidRPr="008F1B68">
        <w:rPr>
          <w:rFonts w:hint="eastAsia"/>
          <w:lang w:bidi="ar"/>
        </w:rPr>
        <w:lastRenderedPageBreak/>
        <w:t>（</w:t>
      </w:r>
      <w:r w:rsidRPr="008F1B68">
        <w:rPr>
          <w:lang w:bidi="ar"/>
        </w:rPr>
        <w:t>2</w:t>
      </w:r>
      <w:r w:rsidRPr="008F1B68">
        <w:rPr>
          <w:rFonts w:hint="eastAsia"/>
          <w:lang w:bidi="ar"/>
        </w:rPr>
        <w:t>）禁止在以下地块开展高标准农田建设：</w:t>
      </w:r>
      <w:r w:rsidRPr="008F1B68">
        <w:rPr>
          <w:rFonts w:hint="eastAsia"/>
        </w:rPr>
        <w:t>地面坡度大于</w:t>
      </w:r>
      <w:r w:rsidRPr="008F1B68">
        <w:t>25°</w:t>
      </w:r>
      <w:r w:rsidRPr="008F1B68">
        <w:rPr>
          <w:rFonts w:hint="eastAsia"/>
        </w:rPr>
        <w:t>的土地；土壤污染严重区域的土地；国家级自然保护区核心区和国家一级水源地的土地；已退耕还林还草还湿或纳入其规划的土地；明确为水域用地的河流湖泊水库滩地；城镇和交通、水利建设规划区内的土地；其他法律法规禁止纳入的土地。</w:t>
      </w:r>
    </w:p>
    <w:p w:rsidR="007F5F66" w:rsidRPr="008F1B68" w:rsidRDefault="008F1B68">
      <w:pPr>
        <w:pStyle w:val="E"/>
        <w:spacing w:before="156" w:after="156"/>
        <w:ind w:firstLine="560"/>
      </w:pPr>
      <w:r w:rsidRPr="008F1B68">
        <w:rPr>
          <w:rFonts w:hint="eastAsia"/>
        </w:rPr>
        <w:t>（</w:t>
      </w:r>
      <w:r w:rsidRPr="008F1B68">
        <w:t>3</w:t>
      </w:r>
      <w:r w:rsidRPr="008F1B68">
        <w:rPr>
          <w:rFonts w:hint="eastAsia"/>
        </w:rPr>
        <w:t>）严格落实永久基本农田特殊保护制度，在高标准农田建设中，开展必要的灌溉及排水设施、田间道路、农田防护林等配套建设涉及少量占用的或优化永久基本农田布局的，要在项目区内予以补足；难以补足的，自然资源主管部门须在县域范围内同步落实补划任务。</w:t>
      </w:r>
    </w:p>
    <w:p w:rsidR="007F5F66" w:rsidRDefault="008F1B68">
      <w:pPr>
        <w:pStyle w:val="D"/>
        <w:spacing w:before="156" w:after="156"/>
        <w:ind w:firstLine="562"/>
      </w:pPr>
      <w:r>
        <w:rPr>
          <w:rFonts w:hint="eastAsia"/>
        </w:rPr>
        <w:t>2.</w:t>
      </w:r>
      <w:r>
        <w:rPr>
          <w:rFonts w:hint="eastAsia"/>
        </w:rPr>
        <w:t>改造提升类</w:t>
      </w:r>
    </w:p>
    <w:p w:rsidR="007F5F66" w:rsidRDefault="008F1B68">
      <w:pPr>
        <w:pStyle w:val="E"/>
        <w:spacing w:before="156" w:after="156"/>
        <w:ind w:firstLine="560"/>
        <w:rPr>
          <w:lang w:bidi="ar"/>
        </w:rPr>
      </w:pPr>
      <w:r>
        <w:rPr>
          <w:rFonts w:hint="eastAsia"/>
        </w:rPr>
        <w:t>秉承“缺什么、补什么”的原则，对</w:t>
      </w:r>
      <w:r>
        <w:rPr>
          <w:rFonts w:hint="eastAsia"/>
        </w:rPr>
        <w:t>2011</w:t>
      </w:r>
      <w:r>
        <w:rPr>
          <w:rFonts w:hint="eastAsia"/>
        </w:rPr>
        <w:t>年以来实施的各类高标准农田项目进行改造提升，</w:t>
      </w:r>
      <w:r>
        <w:rPr>
          <w:lang w:bidi="ar"/>
        </w:rPr>
        <w:t>坚持集中连片原则、按照整体推进的要求实施改造提升项目。</w:t>
      </w:r>
      <w:r>
        <w:rPr>
          <w:rFonts w:hint="eastAsia"/>
          <w:lang w:bidi="ar"/>
        </w:rPr>
        <w:t>以乡镇为单位，整体推进，逐镇逐镇完成改造提升。</w:t>
      </w:r>
    </w:p>
    <w:p w:rsidR="007F5F66" w:rsidRPr="008F1B68" w:rsidRDefault="008F1B68">
      <w:pPr>
        <w:pStyle w:val="E"/>
        <w:spacing w:before="156" w:after="156"/>
        <w:ind w:firstLine="560"/>
      </w:pPr>
      <w:r w:rsidRPr="008F1B68">
        <w:rPr>
          <w:rFonts w:hint="eastAsia"/>
          <w:lang w:bidi="ar"/>
        </w:rPr>
        <w:t>（</w:t>
      </w:r>
      <w:r w:rsidRPr="008F1B68">
        <w:rPr>
          <w:rFonts w:hint="eastAsia"/>
          <w:lang w:bidi="ar"/>
        </w:rPr>
        <w:t>1</w:t>
      </w:r>
      <w:r w:rsidRPr="008F1B68">
        <w:rPr>
          <w:rFonts w:hint="eastAsia"/>
          <w:lang w:bidi="ar"/>
        </w:rPr>
        <w:t>）原则上在粮食生产功能区内选址，结合</w:t>
      </w:r>
      <w:r w:rsidRPr="008F1B68">
        <w:rPr>
          <w:lang w:bidi="ar"/>
        </w:rPr>
        <w:t>“</w:t>
      </w:r>
      <w:r w:rsidRPr="008F1B68">
        <w:rPr>
          <w:rFonts w:hint="eastAsia"/>
          <w:lang w:bidi="ar"/>
        </w:rPr>
        <w:t>十二五</w:t>
      </w:r>
      <w:r w:rsidRPr="008F1B68">
        <w:rPr>
          <w:lang w:bidi="ar"/>
        </w:rPr>
        <w:t>”</w:t>
      </w:r>
      <w:r w:rsidRPr="008F1B68">
        <w:rPr>
          <w:rFonts w:hint="eastAsia"/>
          <w:lang w:bidi="ar"/>
        </w:rPr>
        <w:t>以来</w:t>
      </w:r>
      <w:r w:rsidRPr="008F1B68">
        <w:rPr>
          <w:lang w:bidi="ar"/>
        </w:rPr>
        <w:t>(2011-2018</w:t>
      </w:r>
      <w:r w:rsidRPr="008F1B68">
        <w:rPr>
          <w:rFonts w:hint="eastAsia"/>
          <w:lang w:bidi="ar"/>
        </w:rPr>
        <w:t>年）高标准农田建设清查评估成果，将不符合质量要求的高标准农田纳入改造提升建设范围，尽量避免</w:t>
      </w:r>
      <w:r w:rsidRPr="008F1B68">
        <w:rPr>
          <w:lang w:bidi="ar"/>
        </w:rPr>
        <w:t>“</w:t>
      </w:r>
      <w:r w:rsidRPr="008F1B68">
        <w:rPr>
          <w:rFonts w:hint="eastAsia"/>
          <w:lang w:bidi="ar"/>
        </w:rPr>
        <w:t>非粮化</w:t>
      </w:r>
      <w:r w:rsidRPr="008F1B68">
        <w:rPr>
          <w:lang w:bidi="ar"/>
        </w:rPr>
        <w:t>”</w:t>
      </w:r>
      <w:r w:rsidRPr="008F1B68">
        <w:rPr>
          <w:rFonts w:hint="eastAsia"/>
          <w:lang w:bidi="ar"/>
        </w:rPr>
        <w:t>、禁止</w:t>
      </w:r>
      <w:r w:rsidRPr="008F1B68">
        <w:rPr>
          <w:lang w:bidi="ar"/>
        </w:rPr>
        <w:t>“</w:t>
      </w:r>
      <w:r w:rsidRPr="008F1B68">
        <w:rPr>
          <w:rFonts w:hint="eastAsia"/>
          <w:lang w:bidi="ar"/>
        </w:rPr>
        <w:t>非农化</w:t>
      </w:r>
      <w:r w:rsidRPr="008F1B68">
        <w:rPr>
          <w:lang w:bidi="ar"/>
        </w:rPr>
        <w:t>”</w:t>
      </w:r>
      <w:r w:rsidRPr="008F1B68">
        <w:rPr>
          <w:rFonts w:hint="eastAsia"/>
          <w:lang w:bidi="ar"/>
        </w:rPr>
        <w:t>地块。选定的建设范围周边地块，即使清查评估时为符合质量要求但现状仍有改造提升需求，也应同步纳入建设范围。为改造提升地块服务的溪流护岸、排灌渠道、机耕路等农田基础设施所属耕地地块</w:t>
      </w:r>
      <w:r w:rsidRPr="008F1B68">
        <w:rPr>
          <w:rFonts w:hint="eastAsia"/>
          <w:lang w:bidi="ar"/>
        </w:rPr>
        <w:lastRenderedPageBreak/>
        <w:t>应统筹考虑，划入本次改造提升项目区。</w:t>
      </w:r>
    </w:p>
    <w:p w:rsidR="007F5F66" w:rsidRPr="008F1B68" w:rsidRDefault="008F1B68">
      <w:pPr>
        <w:pStyle w:val="E"/>
        <w:spacing w:before="156" w:after="156"/>
        <w:ind w:firstLine="560"/>
      </w:pPr>
      <w:r w:rsidRPr="008F1B68">
        <w:rPr>
          <w:rFonts w:hint="eastAsia"/>
        </w:rPr>
        <w:t>（</w:t>
      </w:r>
      <w:r w:rsidRPr="008F1B68">
        <w:rPr>
          <w:rFonts w:hint="eastAsia"/>
        </w:rPr>
        <w:t>2</w:t>
      </w:r>
      <w:r w:rsidRPr="008F1B68">
        <w:rPr>
          <w:rFonts w:hint="eastAsia"/>
        </w:rPr>
        <w:t>）严格落实永久基本农田特殊保护制度，在高标准农田建设中，开展必要的灌溉及排水设施、田间道路、农田防护林等配套建设涉及少量占用的或优化永久基本农田布局的，要在项目区内予以补足；难以补足的，自然资源主管部门须在县域范围内同步落实补划任务。</w:t>
      </w:r>
    </w:p>
    <w:p w:rsidR="007F5F66" w:rsidRDefault="008F1B68">
      <w:pPr>
        <w:pStyle w:val="D"/>
        <w:spacing w:before="156" w:after="156"/>
        <w:ind w:firstLine="562"/>
      </w:pPr>
      <w:r>
        <w:rPr>
          <w:rFonts w:hint="eastAsia"/>
        </w:rPr>
        <w:t>3.</w:t>
      </w:r>
      <w:r>
        <w:rPr>
          <w:rFonts w:hint="eastAsia"/>
        </w:rPr>
        <w:t>示范区类</w:t>
      </w:r>
    </w:p>
    <w:p w:rsidR="007F5F66" w:rsidRDefault="008F1B68">
      <w:pPr>
        <w:pStyle w:val="E"/>
        <w:spacing w:before="156" w:after="156"/>
        <w:ind w:firstLine="560"/>
      </w:pPr>
      <w:r>
        <w:rPr>
          <w:rFonts w:hint="eastAsia"/>
        </w:rPr>
        <w:t>示范区类项目包括绿色农田建设示范工程、数字农田建设示范工程、高效节水灌溉示范工程和整区推进示范工程，充分发挥高标准农田建设平台作用，根据各重点工程的特点，结合当地农业产业发展要求，优先选取立地条件好、农民积极性高、开发潜力大、推广性强的区域进行规划，建成一批“农田肥沃、设施优良、科技先进、高产高效、绿色生态”的高质量高标准农田。</w:t>
      </w:r>
    </w:p>
    <w:p w:rsidR="007F5F66" w:rsidRDefault="007F5F66">
      <w:pPr>
        <w:pStyle w:val="E"/>
        <w:spacing w:before="156" w:after="156"/>
        <w:ind w:firstLine="560"/>
        <w:sectPr w:rsidR="007F5F66">
          <w:headerReference w:type="default" r:id="rId13"/>
          <w:pgSz w:w="11906" w:h="16838"/>
          <w:pgMar w:top="1440" w:right="1800" w:bottom="1440" w:left="1800" w:header="851" w:footer="992" w:gutter="0"/>
          <w:pgNumType w:fmt="numberInDash"/>
          <w:cols w:space="425"/>
          <w:docGrid w:type="lines" w:linePitch="312"/>
        </w:sectPr>
      </w:pPr>
    </w:p>
    <w:p w:rsidR="007F5F66" w:rsidRDefault="008F1B68">
      <w:pPr>
        <w:pStyle w:val="B"/>
        <w:spacing w:before="468" w:after="468"/>
        <w:rPr>
          <w:rStyle w:val="EChar"/>
          <w:iCs w:val="0"/>
          <w:color w:val="auto"/>
          <w:sz w:val="36"/>
        </w:rPr>
      </w:pPr>
      <w:bookmarkStart w:id="25" w:name="_Toc96439420"/>
      <w:r>
        <w:rPr>
          <w:rStyle w:val="EChar"/>
          <w:rFonts w:hint="eastAsia"/>
          <w:iCs w:val="0"/>
          <w:color w:val="auto"/>
          <w:sz w:val="36"/>
        </w:rPr>
        <w:lastRenderedPageBreak/>
        <w:t>三、建设布局及规模</w:t>
      </w:r>
      <w:bookmarkEnd w:id="25"/>
    </w:p>
    <w:p w:rsidR="007F5F66" w:rsidRDefault="008F1B68">
      <w:pPr>
        <w:pStyle w:val="E"/>
        <w:spacing w:before="156" w:after="156"/>
        <w:ind w:firstLine="560"/>
        <w:rPr>
          <w:rFonts w:cs="Times New Roman"/>
        </w:rPr>
      </w:pPr>
      <w:r>
        <w:rPr>
          <w:rFonts w:hint="eastAsia"/>
        </w:rPr>
        <w:t>“东南山水越为最，越地风光剡领先”，</w:t>
      </w:r>
      <w:r>
        <w:rPr>
          <w:rFonts w:cs="Times New Roman"/>
        </w:rPr>
        <w:t>嵊州市位于亚热带季风气候区，四季分明，季风显著，气候温和，湿润多雨，四周环山，地形复杂，小气候差异明显。嵊州属曹娥江水系，剡溪是境内主要河道，其干流澄潭江和支流新昌江、长乐江、黄泽江，在市区附近相继汇入剡溪。</w:t>
      </w:r>
    </w:p>
    <w:p w:rsidR="007F5F66" w:rsidRDefault="00AD3B94">
      <w:pPr>
        <w:pStyle w:val="E"/>
        <w:spacing w:before="156" w:after="156"/>
        <w:ind w:firstLine="560"/>
      </w:pPr>
      <w:r>
        <w:pict>
          <v:shape id="_x0000_i1027" type="#_x0000_t75" style="width:415.5pt;height:415.5pt">
            <v:imagedata r:id="rId14" o:title=""/>
          </v:shape>
        </w:pict>
      </w:r>
    </w:p>
    <w:p w:rsidR="007F5F66" w:rsidRPr="008F1B68" w:rsidRDefault="008F1B68">
      <w:pPr>
        <w:pStyle w:val="F2"/>
        <w:spacing w:before="156" w:after="156"/>
        <w:ind w:left="400"/>
      </w:pPr>
      <w:bookmarkStart w:id="26" w:name="_Toc96791005"/>
      <w:bookmarkStart w:id="27" w:name="_Toc93749886"/>
      <w:r w:rsidRPr="008F1B68">
        <w:rPr>
          <w:rFonts w:hint="eastAsia"/>
        </w:rPr>
        <w:t>图</w:t>
      </w:r>
      <w:r w:rsidRPr="008F1B68">
        <w:t>3-1</w:t>
      </w:r>
      <w:r w:rsidRPr="008F1B68">
        <w:rPr>
          <w:rFonts w:hint="eastAsia"/>
        </w:rPr>
        <w:t>嵊州市地形图</w:t>
      </w:r>
      <w:bookmarkEnd w:id="26"/>
      <w:bookmarkEnd w:id="27"/>
    </w:p>
    <w:p w:rsidR="007F5F66" w:rsidRDefault="008F1B68">
      <w:pPr>
        <w:pStyle w:val="E"/>
        <w:spacing w:before="156" w:after="156"/>
        <w:ind w:firstLine="560"/>
        <w:rPr>
          <w:rFonts w:cs="Times New Roman"/>
        </w:rPr>
      </w:pPr>
      <w:r>
        <w:rPr>
          <w:rFonts w:cs="Times New Roman"/>
        </w:rPr>
        <w:lastRenderedPageBreak/>
        <w:t>嵊州市土壤分红壤、黄壤、岩性土、潮土和水稻土</w:t>
      </w:r>
      <w:r>
        <w:rPr>
          <w:rFonts w:cs="Times New Roman"/>
        </w:rPr>
        <w:t>5</w:t>
      </w:r>
      <w:r>
        <w:rPr>
          <w:rFonts w:cs="Times New Roman"/>
        </w:rPr>
        <w:t>个土类，</w:t>
      </w:r>
      <w:r>
        <w:rPr>
          <w:rFonts w:cs="Times New Roman"/>
        </w:rPr>
        <w:t>12</w:t>
      </w:r>
      <w:r>
        <w:rPr>
          <w:rFonts w:cs="Times New Roman"/>
        </w:rPr>
        <w:t>个亚类，</w:t>
      </w:r>
      <w:r>
        <w:rPr>
          <w:rFonts w:cs="Times New Roman"/>
        </w:rPr>
        <w:t>41</w:t>
      </w:r>
      <w:r>
        <w:rPr>
          <w:rFonts w:cs="Times New Roman"/>
        </w:rPr>
        <w:t>个土属，</w:t>
      </w:r>
      <w:r>
        <w:rPr>
          <w:rFonts w:cs="Times New Roman"/>
        </w:rPr>
        <w:t>74</w:t>
      </w:r>
      <w:r>
        <w:rPr>
          <w:rFonts w:cs="Times New Roman"/>
        </w:rPr>
        <w:t>个土种。其中以红壤土类面积最大，遍布丘陵山区，潮土类最少。山地土壤以红壤土类分布最广面积最大，其中又以红黄壤亚类最多，最大土种是黄泥沙土种。丘陵山地土壤垂直分布规律大致是：海拔</w:t>
      </w:r>
      <w:r>
        <w:rPr>
          <w:rFonts w:cs="Times New Roman"/>
        </w:rPr>
        <w:t>200-600</w:t>
      </w:r>
      <w:r>
        <w:rPr>
          <w:rFonts w:cs="Times New Roman"/>
        </w:rPr>
        <w:t>米之间为黄红壤亚类，主要土种有黄泥沙土、黄泥土及黄粘土等；海拔</w:t>
      </w:r>
      <w:r>
        <w:rPr>
          <w:rFonts w:cs="Times New Roman"/>
        </w:rPr>
        <w:t>600-800</w:t>
      </w:r>
      <w:r>
        <w:rPr>
          <w:rFonts w:cs="Times New Roman"/>
        </w:rPr>
        <w:t>米为黄泥砂土，山地石砂土和山地黄粘土等；海拔</w:t>
      </w:r>
      <w:r>
        <w:rPr>
          <w:rFonts w:cs="Times New Roman"/>
        </w:rPr>
        <w:t>800</w:t>
      </w:r>
      <w:r>
        <w:rPr>
          <w:rFonts w:cs="Times New Roman"/>
        </w:rPr>
        <w:t>米以上为山地香灰土。盆地多为水稻土，其中盆沿地区多渗育型水稻土亚类，盆底多潴育型水稻土亚类。</w:t>
      </w:r>
    </w:p>
    <w:p w:rsidR="007F5F66" w:rsidRDefault="008F1B68">
      <w:pPr>
        <w:pStyle w:val="C"/>
        <w:spacing w:before="312" w:after="312"/>
      </w:pPr>
      <w:bookmarkStart w:id="28" w:name="_Toc96439421"/>
      <w:r>
        <w:rPr>
          <w:rFonts w:hint="eastAsia"/>
        </w:rPr>
        <w:t>（一）空间布局</w:t>
      </w:r>
      <w:bookmarkEnd w:id="28"/>
    </w:p>
    <w:p w:rsidR="007F5F66" w:rsidRDefault="008F1B68">
      <w:pPr>
        <w:pStyle w:val="E"/>
        <w:spacing w:before="156" w:after="156"/>
        <w:ind w:firstLine="560"/>
      </w:pPr>
      <w:r>
        <w:rPr>
          <w:rFonts w:cs="Times New Roman"/>
        </w:rPr>
        <w:t>嵊州市地势自西南向东北倾斜，四面环山，中间盆地；地貌构成大体为</w:t>
      </w:r>
      <w:r>
        <w:rPr>
          <w:rFonts w:cs="Times New Roman" w:hint="eastAsia"/>
        </w:rPr>
        <w:t>“</w:t>
      </w:r>
      <w:r>
        <w:rPr>
          <w:rFonts w:cs="Times New Roman"/>
        </w:rPr>
        <w:t>七山一水二分田</w:t>
      </w:r>
      <w:r>
        <w:rPr>
          <w:rFonts w:cs="Times New Roman" w:hint="eastAsia"/>
        </w:rPr>
        <w:t>”</w:t>
      </w:r>
      <w:r>
        <w:rPr>
          <w:rFonts w:cs="Times New Roman"/>
        </w:rPr>
        <w:t>，境内丘陵山区占</w:t>
      </w:r>
      <w:r>
        <w:rPr>
          <w:rFonts w:cs="Times New Roman"/>
        </w:rPr>
        <w:t>77.30%</w:t>
      </w:r>
      <w:r>
        <w:rPr>
          <w:rFonts w:cs="Times New Roman"/>
        </w:rPr>
        <w:t>，平原和盆地占</w:t>
      </w:r>
      <w:r>
        <w:rPr>
          <w:rFonts w:cs="Times New Roman"/>
        </w:rPr>
        <w:t>17.67%</w:t>
      </w:r>
      <w:r>
        <w:rPr>
          <w:rFonts w:cs="Times New Roman"/>
        </w:rPr>
        <w:t>，河流和湖泊占</w:t>
      </w:r>
      <w:r>
        <w:rPr>
          <w:rFonts w:cs="Times New Roman"/>
        </w:rPr>
        <w:t>5.03%</w:t>
      </w:r>
      <w:r>
        <w:rPr>
          <w:rFonts w:cs="Times New Roman"/>
        </w:rPr>
        <w:t>。市域东部为四明山；西部为会稽山脉，以西白山为全市最高峰；南部属大盘山脉。东南部、北部为丘陵地带，海拔大多在</w:t>
      </w:r>
      <w:r>
        <w:rPr>
          <w:rFonts w:cs="Times New Roman"/>
        </w:rPr>
        <w:t>500</w:t>
      </w:r>
      <w:r>
        <w:rPr>
          <w:rFonts w:cs="Times New Roman"/>
        </w:rPr>
        <w:t>米以下；中部是地质构造形成的嵊新盆地。</w:t>
      </w:r>
    </w:p>
    <w:p w:rsidR="007F5F66" w:rsidRPr="008F1B68" w:rsidRDefault="008F1B68">
      <w:pPr>
        <w:pStyle w:val="E"/>
        <w:spacing w:before="156" w:after="156"/>
        <w:ind w:firstLine="560"/>
      </w:pPr>
      <w:r w:rsidRPr="008F1B68">
        <w:rPr>
          <w:rFonts w:hint="eastAsia"/>
        </w:rPr>
        <w:t>根据地形地貌、气象水文、土壤类型等资源禀赋，以及《绍兴市农业区划》、《嵊州市志》等相关资料，将全市农田区域划分为盆地农区和低山丘陵农区，并对各区高标准农田建设进行科学规划。</w:t>
      </w:r>
    </w:p>
    <w:p w:rsidR="007F5F66" w:rsidRPr="008F1B68" w:rsidRDefault="008F1B68">
      <w:pPr>
        <w:pStyle w:val="F2"/>
        <w:spacing w:before="156" w:after="156"/>
        <w:ind w:left="400"/>
      </w:pPr>
      <w:bookmarkStart w:id="29" w:name="_Toc93749887"/>
      <w:bookmarkStart w:id="30" w:name="_Toc96791006"/>
      <w:r w:rsidRPr="008F1B68">
        <w:rPr>
          <w:rFonts w:hint="eastAsia"/>
        </w:rPr>
        <w:t>表</w:t>
      </w:r>
      <w:r w:rsidRPr="008F1B68">
        <w:t>3-1</w:t>
      </w:r>
      <w:r w:rsidRPr="008F1B68">
        <w:rPr>
          <w:rFonts w:hint="eastAsia"/>
        </w:rPr>
        <w:t>空间布局分区</w:t>
      </w:r>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6570"/>
      </w:tblGrid>
      <w:tr w:rsidR="007F5F66" w:rsidTr="008F1B68">
        <w:trPr>
          <w:trHeight w:val="288"/>
          <w:tblHeader/>
        </w:trPr>
        <w:tc>
          <w:tcPr>
            <w:tcW w:w="1145" w:type="pct"/>
            <w:shd w:val="clear" w:color="auto" w:fill="auto"/>
            <w:noWrap/>
            <w:vAlign w:val="center"/>
          </w:tcPr>
          <w:p w:rsidR="007F5F66" w:rsidRPr="008F1B68" w:rsidRDefault="008F1B68" w:rsidP="008F1B68">
            <w:pPr>
              <w:widowControl/>
              <w:jc w:val="center"/>
              <w:rPr>
                <w:rFonts w:eastAsia="仿宋"/>
                <w:b/>
                <w:color w:val="000000"/>
                <w:sz w:val="24"/>
                <w:szCs w:val="24"/>
              </w:rPr>
            </w:pPr>
            <w:r w:rsidRPr="008F1B68">
              <w:rPr>
                <w:rFonts w:eastAsia="仿宋" w:hint="eastAsia"/>
                <w:b/>
                <w:color w:val="000000"/>
                <w:sz w:val="24"/>
                <w:szCs w:val="24"/>
              </w:rPr>
              <w:t>布局分区</w:t>
            </w:r>
          </w:p>
        </w:tc>
        <w:tc>
          <w:tcPr>
            <w:tcW w:w="3855" w:type="pct"/>
            <w:shd w:val="clear" w:color="auto" w:fill="auto"/>
            <w:noWrap/>
            <w:vAlign w:val="center"/>
          </w:tcPr>
          <w:p w:rsidR="007F5F66" w:rsidRPr="008F1B68" w:rsidRDefault="008F1B68" w:rsidP="008F1B68">
            <w:pPr>
              <w:widowControl/>
              <w:jc w:val="center"/>
              <w:rPr>
                <w:rFonts w:eastAsia="仿宋"/>
                <w:b/>
                <w:color w:val="000000"/>
                <w:sz w:val="24"/>
                <w:szCs w:val="24"/>
              </w:rPr>
            </w:pPr>
            <w:r w:rsidRPr="008F1B68">
              <w:rPr>
                <w:rFonts w:eastAsia="仿宋" w:hint="eastAsia"/>
                <w:b/>
                <w:color w:val="000000"/>
                <w:sz w:val="24"/>
                <w:szCs w:val="24"/>
              </w:rPr>
              <w:t>区域范围</w:t>
            </w:r>
          </w:p>
        </w:tc>
      </w:tr>
      <w:tr w:rsidR="007F5F66" w:rsidTr="008F1B68">
        <w:trPr>
          <w:trHeight w:val="288"/>
        </w:trPr>
        <w:tc>
          <w:tcPr>
            <w:tcW w:w="1145" w:type="pct"/>
            <w:shd w:val="clear" w:color="auto" w:fill="auto"/>
            <w:noWrap/>
            <w:vAlign w:val="center"/>
          </w:tcPr>
          <w:p w:rsidR="007F5F66" w:rsidRPr="008F1B68" w:rsidRDefault="008F1B68" w:rsidP="008F1B68">
            <w:pPr>
              <w:widowControl/>
              <w:jc w:val="center"/>
              <w:rPr>
                <w:rFonts w:eastAsia="仿宋"/>
                <w:color w:val="000000"/>
                <w:sz w:val="24"/>
                <w:szCs w:val="24"/>
              </w:rPr>
            </w:pPr>
            <w:r w:rsidRPr="008F1B68">
              <w:rPr>
                <w:rFonts w:eastAsia="仿宋" w:hint="eastAsia"/>
                <w:color w:val="000000"/>
                <w:sz w:val="24"/>
                <w:szCs w:val="24"/>
              </w:rPr>
              <w:t>盆地农区</w:t>
            </w:r>
          </w:p>
        </w:tc>
        <w:tc>
          <w:tcPr>
            <w:tcW w:w="3855" w:type="pct"/>
            <w:shd w:val="clear" w:color="auto" w:fill="auto"/>
            <w:vAlign w:val="center"/>
          </w:tcPr>
          <w:p w:rsidR="007F5F66" w:rsidRPr="008F1B68" w:rsidRDefault="008F1B68" w:rsidP="008F1B68">
            <w:pPr>
              <w:widowControl/>
              <w:jc w:val="center"/>
              <w:rPr>
                <w:rFonts w:eastAsia="仿宋"/>
                <w:color w:val="000000"/>
                <w:sz w:val="24"/>
                <w:szCs w:val="24"/>
              </w:rPr>
            </w:pPr>
            <w:r w:rsidRPr="008F1B68">
              <w:rPr>
                <w:rFonts w:eastAsia="仿宋" w:hint="eastAsia"/>
                <w:color w:val="000000"/>
                <w:sz w:val="24"/>
                <w:szCs w:val="24"/>
              </w:rPr>
              <w:t>崇仁镇、甘霖镇、黄泽镇、鹿山街道、浦口街道、三江街道、三界镇、剡湖街道、长乐镇、石璜镇（范油车村、石璜村、白竹村、雅宅村、寺新村、夏相村、楼家村、溪西村）</w:t>
            </w:r>
          </w:p>
        </w:tc>
      </w:tr>
      <w:tr w:rsidR="007F5F66" w:rsidTr="008F1B68">
        <w:trPr>
          <w:trHeight w:val="288"/>
        </w:trPr>
        <w:tc>
          <w:tcPr>
            <w:tcW w:w="1145" w:type="pct"/>
            <w:shd w:val="clear" w:color="auto" w:fill="auto"/>
            <w:noWrap/>
            <w:vAlign w:val="center"/>
          </w:tcPr>
          <w:p w:rsidR="007F5F66" w:rsidRPr="008F1B68" w:rsidRDefault="008F1B68" w:rsidP="008F1B68">
            <w:pPr>
              <w:widowControl/>
              <w:jc w:val="center"/>
              <w:rPr>
                <w:rFonts w:eastAsia="仿宋"/>
                <w:color w:val="000000"/>
                <w:sz w:val="24"/>
                <w:szCs w:val="24"/>
              </w:rPr>
            </w:pPr>
            <w:r w:rsidRPr="008F1B68">
              <w:rPr>
                <w:rFonts w:eastAsia="仿宋" w:hint="eastAsia"/>
                <w:color w:val="000000"/>
                <w:sz w:val="24"/>
                <w:szCs w:val="24"/>
              </w:rPr>
              <w:t>低山丘陵农区</w:t>
            </w:r>
          </w:p>
        </w:tc>
        <w:tc>
          <w:tcPr>
            <w:tcW w:w="3855" w:type="pct"/>
            <w:shd w:val="clear" w:color="auto" w:fill="auto"/>
            <w:vAlign w:val="center"/>
          </w:tcPr>
          <w:p w:rsidR="007F5F66" w:rsidRPr="008F1B68" w:rsidRDefault="008F1B68" w:rsidP="008F1B68">
            <w:pPr>
              <w:widowControl/>
              <w:jc w:val="center"/>
              <w:rPr>
                <w:rFonts w:eastAsia="仿宋"/>
                <w:color w:val="000000"/>
                <w:sz w:val="24"/>
                <w:szCs w:val="24"/>
              </w:rPr>
            </w:pPr>
            <w:r w:rsidRPr="008F1B68">
              <w:rPr>
                <w:rFonts w:eastAsia="仿宋" w:hint="eastAsia"/>
                <w:color w:val="000000"/>
                <w:sz w:val="24"/>
                <w:szCs w:val="24"/>
              </w:rPr>
              <w:t>谷来镇、贵门乡、金庭镇、下王镇、仙岩镇、石璜镇（松明</w:t>
            </w:r>
            <w:r w:rsidRPr="008F1B68">
              <w:rPr>
                <w:rFonts w:eastAsia="仿宋" w:hint="eastAsia"/>
                <w:color w:val="000000"/>
                <w:sz w:val="24"/>
                <w:szCs w:val="24"/>
              </w:rPr>
              <w:lastRenderedPageBreak/>
              <w:t>培村</w:t>
            </w:r>
            <w:r w:rsidRPr="008F1B68">
              <w:rPr>
                <w:rFonts w:eastAsia="仿宋"/>
                <w:color w:val="000000"/>
                <w:sz w:val="24"/>
                <w:szCs w:val="24"/>
              </w:rPr>
              <w:t>、</w:t>
            </w:r>
            <w:r w:rsidRPr="008F1B68">
              <w:rPr>
                <w:rFonts w:eastAsia="仿宋" w:hint="eastAsia"/>
                <w:color w:val="000000"/>
                <w:sz w:val="24"/>
                <w:szCs w:val="24"/>
              </w:rPr>
              <w:t>雅璜村、戴溪村、通源村、白雁坑村、西白山村、三溪村、徐家培村）</w:t>
            </w:r>
          </w:p>
        </w:tc>
      </w:tr>
    </w:tbl>
    <w:p w:rsidR="007F5F66" w:rsidRDefault="008F1B68">
      <w:pPr>
        <w:pStyle w:val="D"/>
        <w:spacing w:before="156" w:after="156"/>
        <w:ind w:firstLine="562"/>
      </w:pPr>
      <w:bookmarkStart w:id="31" w:name="_Toc93749845"/>
      <w:r>
        <w:rPr>
          <w:rFonts w:hint="eastAsia"/>
        </w:rPr>
        <w:lastRenderedPageBreak/>
        <w:t>1.</w:t>
      </w:r>
      <w:r>
        <w:rPr>
          <w:rFonts w:hint="eastAsia"/>
        </w:rPr>
        <w:t>盆地农区</w:t>
      </w:r>
      <w:bookmarkEnd w:id="31"/>
    </w:p>
    <w:p w:rsidR="007F5F66" w:rsidRPr="008F1B68" w:rsidRDefault="008F1B68">
      <w:pPr>
        <w:pStyle w:val="E"/>
        <w:spacing w:before="156" w:after="156"/>
        <w:ind w:firstLine="560"/>
        <w:rPr>
          <w:rFonts w:ascii="Arial" w:hAnsi="Arial" w:cs="Arial"/>
          <w:shd w:val="clear" w:color="auto" w:fill="FFFFFF"/>
        </w:rPr>
      </w:pPr>
      <w:r w:rsidRPr="008F1B68">
        <w:rPr>
          <w:rFonts w:hint="eastAsia"/>
        </w:rPr>
        <w:t>盆地农区即新嵊盆地和三章盆地。新嵊盆地：位于嵊县中部，新昌北部，是曹娥江流域最大的河谷盆地。地势东南高，西北低，由四明山、天台山、会稽山环抱，是一个地形相对完整的盆地，冷空气难进难出，热量充足。曹娥江上游的澄潭江、新昌江、长乐江、黄泽江等支流贯穿其间，因此新嵊盆地气候温暖，为绍兴全市热量最优的区域。三章盆地：以上虞章镇为中心，南起清风峡与新嵊盆地相连，北至蒿坝与水网平原相接，三章盆地底部地势平坦，海拔高度在</w:t>
      </w:r>
      <w:r w:rsidRPr="008F1B68">
        <w:t>10-15</w:t>
      </w:r>
      <w:r w:rsidRPr="008F1B68">
        <w:rPr>
          <w:rFonts w:hint="eastAsia"/>
        </w:rPr>
        <w:t>米之间，土壤为河漫滩相物质型壤土，土质肥沃，近山的河漫滩则多砂砾。</w:t>
      </w:r>
    </w:p>
    <w:p w:rsidR="007F5F66" w:rsidRPr="008F1B68" w:rsidRDefault="008F1B68">
      <w:pPr>
        <w:pStyle w:val="E"/>
        <w:spacing w:before="156" w:after="156"/>
        <w:ind w:firstLine="560"/>
      </w:pPr>
      <w:r w:rsidRPr="008F1B68">
        <w:rPr>
          <w:rFonts w:hint="eastAsia"/>
        </w:rPr>
        <w:t>建设重点包括：加强农田基础设施，完善排灌渠道和田间道路。配合水利部门加快大中型灌区骨干渠系节水改造，新建和改造小堰坝、小水池等水源及小泵站、小沟渠等末级渠系改造和田间配套等工程。合理确定田间道路的密度和宽度，整修和新建田间道、生产路。采取增施有机肥及石灰质物质等措施，开展土壤酸化治理，遏制土壤酸化趋势，实施测土配方施肥，推广绿肥种植，使土壤有机质含量达到</w:t>
      </w:r>
      <w:r w:rsidRPr="008F1B68">
        <w:t>15g/kg</w:t>
      </w:r>
      <w:r w:rsidRPr="008F1B68">
        <w:rPr>
          <w:rFonts w:hint="eastAsia"/>
        </w:rPr>
        <w:t>以上。</w:t>
      </w:r>
    </w:p>
    <w:p w:rsidR="007F5F66" w:rsidRDefault="008F1B68">
      <w:pPr>
        <w:pStyle w:val="D"/>
        <w:spacing w:before="156" w:after="156"/>
        <w:ind w:firstLine="562"/>
      </w:pPr>
      <w:bookmarkStart w:id="32" w:name="_Toc93749846"/>
      <w:r>
        <w:rPr>
          <w:rFonts w:hint="eastAsia"/>
        </w:rPr>
        <w:t>2.</w:t>
      </w:r>
      <w:r>
        <w:rPr>
          <w:rFonts w:hint="eastAsia"/>
        </w:rPr>
        <w:t>低山丘陵农区</w:t>
      </w:r>
      <w:bookmarkEnd w:id="32"/>
    </w:p>
    <w:p w:rsidR="007F5F66" w:rsidRPr="008F1B68" w:rsidRDefault="008F1B68">
      <w:pPr>
        <w:pStyle w:val="E"/>
        <w:spacing w:before="156" w:after="156"/>
        <w:ind w:firstLine="560"/>
      </w:pPr>
      <w:r w:rsidRPr="008F1B68">
        <w:rPr>
          <w:rFonts w:hint="eastAsia"/>
        </w:rPr>
        <w:t>低山丘陵农区包括会稽山、四明山和天台山低山丘陵。会稽山脉</w:t>
      </w:r>
      <w:r w:rsidRPr="008F1B68">
        <w:rPr>
          <w:rFonts w:hint="eastAsia"/>
        </w:rPr>
        <w:lastRenderedPageBreak/>
        <w:t>是</w:t>
      </w:r>
      <w:hyperlink r:id="rId15" w:tgtFrame="_blank" w:history="1">
        <w:r w:rsidRPr="008F1B68">
          <w:rPr>
            <w:rFonts w:hint="eastAsia"/>
          </w:rPr>
          <w:t>浦阳江</w:t>
        </w:r>
      </w:hyperlink>
      <w:r w:rsidRPr="008F1B68">
        <w:rPr>
          <w:rFonts w:hint="eastAsia"/>
        </w:rPr>
        <w:t>、</w:t>
      </w:r>
      <w:hyperlink r:id="rId16" w:tgtFrame="_blank" w:history="1">
        <w:r w:rsidRPr="008F1B68">
          <w:rPr>
            <w:rFonts w:hint="eastAsia"/>
          </w:rPr>
          <w:t>曹娥江</w:t>
        </w:r>
      </w:hyperlink>
      <w:r w:rsidRPr="008F1B68">
        <w:rPr>
          <w:rFonts w:hint="eastAsia"/>
        </w:rPr>
        <w:t>的分水岭。四明山脉系曹娥江、奉化江分水岭。天台山属仙霞岭分支，呈西南</w:t>
      </w:r>
      <w:r w:rsidRPr="008F1B68">
        <w:t>-</w:t>
      </w:r>
      <w:r w:rsidRPr="008F1B68">
        <w:rPr>
          <w:rFonts w:hint="eastAsia"/>
        </w:rPr>
        <w:t>东北走向，位于浙江省中东部，地处宁波、绍兴、金华、温州四市的交接地带。该区域地貌以低山丘陵为主，地势较为高峻，地形切割较深，起伏变化较大，河谷小平原错落分布，并有不少丘陵盆地。该区沿河农田较多，立地条件一般，土壤类型以水稻土、红壤为主，少量石灰岩土和黄壤，土层偏薄，砂性较重，保水保肥能力较差，土壤存在瘠薄、酸化等障碍因素。山洪灾害多，坡耕地易出现水土流失现象。</w:t>
      </w:r>
    </w:p>
    <w:p w:rsidR="007F5F66" w:rsidRPr="008F1B68" w:rsidRDefault="008F1B68">
      <w:pPr>
        <w:pStyle w:val="E"/>
        <w:spacing w:before="156" w:after="156"/>
        <w:ind w:firstLine="560"/>
      </w:pPr>
      <w:r w:rsidRPr="008F1B68">
        <w:rPr>
          <w:rFonts w:hint="eastAsia"/>
        </w:rPr>
        <w:t>建设重点包括：加强农田基础设施，提倡水土保持、水源涵养的护路护沟等植被生态工程建设。配合水利部门新建和改造小山塘、小堰坝、小水池等水源及小泵站、小沟渠等末级渠系改造和田间配套等工程，发展推广喷滴灌。提高道路通达度，方便农业机械通行、农业生产资料和农产品运输。采取增施有机肥及石灰质物质等措施，对土壤酸化区域开展酸化治理。通过实施测土配方施肥培肥地力，提升瘠薄型土壤区域耕地综合生产能力。</w:t>
      </w:r>
    </w:p>
    <w:p w:rsidR="007F5F66" w:rsidRDefault="008F1B68">
      <w:pPr>
        <w:pStyle w:val="C"/>
        <w:spacing w:before="312" w:after="312"/>
      </w:pPr>
      <w:bookmarkStart w:id="33" w:name="_Toc96439422"/>
      <w:r>
        <w:rPr>
          <w:rFonts w:hint="eastAsia"/>
        </w:rPr>
        <w:t>（二）建设规模</w:t>
      </w:r>
      <w:bookmarkEnd w:id="33"/>
    </w:p>
    <w:p w:rsidR="007F5F66" w:rsidRDefault="008F1B68">
      <w:pPr>
        <w:pStyle w:val="D"/>
        <w:spacing w:before="156" w:after="156"/>
        <w:ind w:firstLine="562"/>
      </w:pPr>
      <w:bookmarkStart w:id="34" w:name="_Toc85364180"/>
      <w:r>
        <w:rPr>
          <w:rFonts w:hint="eastAsia"/>
        </w:rPr>
        <w:t>1.</w:t>
      </w:r>
      <w:r>
        <w:rPr>
          <w:rFonts w:hint="eastAsia"/>
        </w:rPr>
        <w:t>指标完成情况</w:t>
      </w:r>
      <w:bookmarkEnd w:id="34"/>
    </w:p>
    <w:p w:rsidR="007F5F66" w:rsidRDefault="008F1B68">
      <w:pPr>
        <w:pStyle w:val="E"/>
        <w:spacing w:before="156" w:after="156"/>
        <w:ind w:firstLine="560"/>
      </w:pPr>
      <w:r>
        <w:rPr>
          <w:rFonts w:hint="eastAsia"/>
        </w:rPr>
        <w:t>按照绍兴市农业农村局《关于开展“十四五”期间高标准农田建设项目潜力摸排的通知》要求，根据选址要求，明确项目位置、规模及建设时序，统筹项目类型，择优安排重点工程，确保完成上级下达的任务。</w:t>
      </w:r>
    </w:p>
    <w:p w:rsidR="007F5F66" w:rsidRDefault="008F1B68">
      <w:pPr>
        <w:pStyle w:val="E"/>
        <w:spacing w:before="156" w:after="156"/>
        <w:ind w:firstLine="560"/>
      </w:pPr>
      <w:r>
        <w:rPr>
          <w:rFonts w:hint="eastAsia"/>
        </w:rPr>
        <w:lastRenderedPageBreak/>
        <w:t>（</w:t>
      </w:r>
      <w:r>
        <w:rPr>
          <w:rFonts w:hint="eastAsia"/>
        </w:rPr>
        <w:t>1</w:t>
      </w:r>
      <w:r>
        <w:rPr>
          <w:rFonts w:hint="eastAsia"/>
        </w:rPr>
        <w:t>）新建高标准农田面积，“十四五”期间全市争取新建高标准农田</w:t>
      </w:r>
      <w:r>
        <w:rPr>
          <w:rFonts w:hint="eastAsia"/>
        </w:rPr>
        <w:t>2.41</w:t>
      </w:r>
      <w:r>
        <w:rPr>
          <w:rFonts w:hint="eastAsia"/>
        </w:rPr>
        <w:t>万亩，确保完成省级下达新建任务</w:t>
      </w:r>
      <w:r>
        <w:rPr>
          <w:rFonts w:hint="eastAsia"/>
        </w:rPr>
        <w:t>2.40</w:t>
      </w:r>
      <w:r>
        <w:rPr>
          <w:rFonts w:hint="eastAsia"/>
        </w:rPr>
        <w:t>万亩。</w:t>
      </w:r>
    </w:p>
    <w:p w:rsidR="007F5F66" w:rsidRDefault="008F1B68">
      <w:pPr>
        <w:pStyle w:val="E"/>
        <w:spacing w:before="156" w:after="156"/>
        <w:ind w:firstLine="560"/>
      </w:pPr>
      <w:r>
        <w:rPr>
          <w:rFonts w:hint="eastAsia"/>
        </w:rPr>
        <w:t>（</w:t>
      </w:r>
      <w:r>
        <w:rPr>
          <w:rFonts w:hint="eastAsia"/>
        </w:rPr>
        <w:t>2</w:t>
      </w:r>
      <w:r>
        <w:rPr>
          <w:rFonts w:hint="eastAsia"/>
        </w:rPr>
        <w:t>）高标准农田保有量，截至</w:t>
      </w:r>
      <w:r>
        <w:rPr>
          <w:rFonts w:hint="eastAsia"/>
        </w:rPr>
        <w:t>2020</w:t>
      </w:r>
      <w:r>
        <w:rPr>
          <w:rFonts w:hint="eastAsia"/>
        </w:rPr>
        <w:t>年末，全市已建成高标准农田</w:t>
      </w:r>
      <w:r>
        <w:rPr>
          <w:rFonts w:hint="eastAsia"/>
        </w:rPr>
        <w:t>51.74</w:t>
      </w:r>
      <w:r>
        <w:rPr>
          <w:rFonts w:hint="eastAsia"/>
        </w:rPr>
        <w:t>万亩，“十四五”时期通过新建项目，规划期末，全市确保建成高标准农田</w:t>
      </w:r>
      <w:r>
        <w:rPr>
          <w:rFonts w:hint="eastAsia"/>
        </w:rPr>
        <w:t>54.14</w:t>
      </w:r>
      <w:r>
        <w:rPr>
          <w:rFonts w:hint="eastAsia"/>
        </w:rPr>
        <w:t>万亩以上，与省级规划要求的高标准农田保有量一致。</w:t>
      </w:r>
    </w:p>
    <w:p w:rsidR="007F5F66" w:rsidRDefault="008F1B68">
      <w:pPr>
        <w:pStyle w:val="F2"/>
        <w:spacing w:before="156" w:after="156"/>
      </w:pPr>
      <w:bookmarkStart w:id="35" w:name="_Toc96791007"/>
      <w:bookmarkStart w:id="36" w:name="_Toc85385419"/>
      <w:r>
        <w:rPr>
          <w:rFonts w:hint="eastAsia"/>
        </w:rPr>
        <w:t>表</w:t>
      </w:r>
      <w:r>
        <w:rPr>
          <w:rFonts w:hint="eastAsia"/>
        </w:rPr>
        <w:t>3-2</w:t>
      </w:r>
      <w:r>
        <w:rPr>
          <w:rFonts w:hint="eastAsia"/>
        </w:rPr>
        <w:t>嵊州市“十四五”时期高标准农田建成量分析</w:t>
      </w:r>
      <w:bookmarkEnd w:id="35"/>
      <w:bookmarkEnd w:id="36"/>
    </w:p>
    <w:p w:rsidR="007F5F66" w:rsidRDefault="008F1B68">
      <w:pPr>
        <w:pStyle w:val="E"/>
        <w:spacing w:beforeLines="0" w:afterLines="0" w:line="240" w:lineRule="exact"/>
        <w:ind w:firstLine="440"/>
        <w:jc w:val="right"/>
        <w:rPr>
          <w:rFonts w:ascii="仿宋" w:hAnsi="仿宋"/>
          <w:sz w:val="22"/>
          <w:szCs w:val="22"/>
        </w:rPr>
      </w:pPr>
      <w:r>
        <w:rPr>
          <w:rFonts w:ascii="仿宋" w:hAnsi="仿宋" w:hint="eastAsia"/>
          <w:sz w:val="22"/>
          <w:szCs w:val="22"/>
        </w:rPr>
        <w:t>单位：万亩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2"/>
        <w:gridCol w:w="2430"/>
      </w:tblGrid>
      <w:tr w:rsidR="007F5F66" w:rsidTr="008F1B68">
        <w:trPr>
          <w:trHeight w:val="312"/>
        </w:trPr>
        <w:tc>
          <w:tcPr>
            <w:tcW w:w="3574" w:type="pct"/>
            <w:shd w:val="clear" w:color="auto" w:fill="auto"/>
            <w:noWrap/>
          </w:tcPr>
          <w:p w:rsidR="007F5F66" w:rsidRPr="008F1B68" w:rsidRDefault="008F1B68" w:rsidP="008F1B68">
            <w:pPr>
              <w:widowControl/>
              <w:jc w:val="center"/>
              <w:rPr>
                <w:rFonts w:ascii="仿宋" w:eastAsia="仿宋" w:hAnsi="仿宋" w:cs="宋体"/>
                <w:b/>
                <w:color w:val="000000"/>
                <w:sz w:val="22"/>
              </w:rPr>
            </w:pPr>
            <w:r w:rsidRPr="008F1B68">
              <w:rPr>
                <w:rFonts w:ascii="仿宋" w:eastAsia="仿宋" w:hAnsi="仿宋" w:cs="宋体" w:hint="eastAsia"/>
                <w:b/>
                <w:color w:val="000000"/>
                <w:sz w:val="22"/>
              </w:rPr>
              <w:t>指标</w:t>
            </w:r>
          </w:p>
        </w:tc>
        <w:tc>
          <w:tcPr>
            <w:tcW w:w="1426" w:type="pct"/>
            <w:shd w:val="clear" w:color="auto" w:fill="auto"/>
            <w:noWrap/>
          </w:tcPr>
          <w:p w:rsidR="007F5F66" w:rsidRPr="008F1B68" w:rsidRDefault="008F1B68" w:rsidP="008F1B68">
            <w:pPr>
              <w:widowControl/>
              <w:jc w:val="center"/>
              <w:rPr>
                <w:rFonts w:ascii="仿宋" w:eastAsia="仿宋" w:hAnsi="仿宋" w:cs="宋体"/>
                <w:b/>
                <w:color w:val="000000"/>
                <w:sz w:val="22"/>
              </w:rPr>
            </w:pPr>
            <w:r w:rsidRPr="008F1B68">
              <w:rPr>
                <w:rFonts w:ascii="仿宋" w:eastAsia="仿宋" w:hAnsi="仿宋" w:cs="宋体" w:hint="eastAsia"/>
                <w:b/>
                <w:color w:val="000000"/>
                <w:sz w:val="22"/>
              </w:rPr>
              <w:t>面积</w:t>
            </w:r>
          </w:p>
        </w:tc>
      </w:tr>
      <w:tr w:rsidR="007F5F66" w:rsidTr="008F1B68">
        <w:trPr>
          <w:trHeight w:val="288"/>
        </w:trPr>
        <w:tc>
          <w:tcPr>
            <w:tcW w:w="3574" w:type="pct"/>
            <w:shd w:val="clear" w:color="auto" w:fill="auto"/>
            <w:noWrap/>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2012年-2020年项目</w:t>
            </w:r>
          </w:p>
        </w:tc>
        <w:tc>
          <w:tcPr>
            <w:tcW w:w="1426" w:type="pct"/>
            <w:shd w:val="clear" w:color="auto" w:fill="auto"/>
            <w:noWrap/>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51.74</w:t>
            </w:r>
          </w:p>
        </w:tc>
      </w:tr>
      <w:tr w:rsidR="007F5F66" w:rsidTr="008F1B68">
        <w:trPr>
          <w:trHeight w:val="288"/>
        </w:trPr>
        <w:tc>
          <w:tcPr>
            <w:tcW w:w="3574" w:type="pct"/>
            <w:shd w:val="clear" w:color="auto" w:fill="auto"/>
            <w:noWrap/>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“十四五”时期新建项目</w:t>
            </w:r>
          </w:p>
        </w:tc>
        <w:tc>
          <w:tcPr>
            <w:tcW w:w="1426" w:type="pct"/>
            <w:shd w:val="clear" w:color="auto" w:fill="auto"/>
            <w:noWrap/>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2.40</w:t>
            </w:r>
          </w:p>
        </w:tc>
      </w:tr>
      <w:tr w:rsidR="007F5F66" w:rsidTr="008F1B68">
        <w:trPr>
          <w:trHeight w:val="288"/>
        </w:trPr>
        <w:tc>
          <w:tcPr>
            <w:tcW w:w="3574" w:type="pct"/>
            <w:shd w:val="clear" w:color="auto" w:fill="auto"/>
            <w:noWrap/>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高标准农田保有量</w:t>
            </w:r>
          </w:p>
        </w:tc>
        <w:tc>
          <w:tcPr>
            <w:tcW w:w="1426" w:type="pct"/>
            <w:shd w:val="clear" w:color="auto" w:fill="auto"/>
            <w:noWrap/>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54.14</w:t>
            </w:r>
          </w:p>
        </w:tc>
      </w:tr>
    </w:tbl>
    <w:p w:rsidR="007F5F66" w:rsidRDefault="008F1B68">
      <w:pPr>
        <w:pStyle w:val="E"/>
        <w:spacing w:before="156" w:after="156"/>
        <w:ind w:firstLine="560"/>
      </w:pPr>
      <w:r>
        <w:rPr>
          <w:rFonts w:hint="eastAsia"/>
        </w:rPr>
        <w:t>（</w:t>
      </w:r>
      <w:r>
        <w:rPr>
          <w:rFonts w:hint="eastAsia"/>
        </w:rPr>
        <w:t>3</w:t>
      </w:r>
      <w:r>
        <w:rPr>
          <w:rFonts w:hint="eastAsia"/>
        </w:rPr>
        <w:t>）已建高标准农田改造提升面积，“十四五”期间嵊州市规划已建高标准农田改造提升面积</w:t>
      </w:r>
      <w:r>
        <w:rPr>
          <w:rFonts w:hint="eastAsia"/>
        </w:rPr>
        <w:t>4.87</w:t>
      </w:r>
      <w:r>
        <w:rPr>
          <w:rFonts w:hint="eastAsia"/>
        </w:rPr>
        <w:t>万亩，与省级规划要求已建高标准农田改造提升的任务一致。</w:t>
      </w:r>
    </w:p>
    <w:p w:rsidR="007F5F66" w:rsidRDefault="008F1B68">
      <w:pPr>
        <w:pStyle w:val="E"/>
        <w:spacing w:before="156" w:after="156"/>
        <w:ind w:firstLine="560"/>
      </w:pPr>
      <w:r>
        <w:rPr>
          <w:rFonts w:hint="eastAsia"/>
        </w:rPr>
        <w:t>（</w:t>
      </w:r>
      <w:r>
        <w:rPr>
          <w:rFonts w:hint="eastAsia"/>
        </w:rPr>
        <w:t>4</w:t>
      </w:r>
      <w:r>
        <w:rPr>
          <w:rFonts w:hint="eastAsia"/>
        </w:rPr>
        <w:t>）新增高效节水灌溉面积，“十四五”期间全市规划新增高效节水灌溉面积</w:t>
      </w:r>
      <w:r>
        <w:rPr>
          <w:rFonts w:hint="eastAsia"/>
        </w:rPr>
        <w:t>0.55</w:t>
      </w:r>
      <w:r>
        <w:rPr>
          <w:rFonts w:hint="eastAsia"/>
        </w:rPr>
        <w:t>万亩，确保完成省级下达任务</w:t>
      </w:r>
      <w:r>
        <w:rPr>
          <w:rFonts w:hint="eastAsia"/>
        </w:rPr>
        <w:t>0.54</w:t>
      </w:r>
      <w:r>
        <w:rPr>
          <w:rFonts w:hint="eastAsia"/>
        </w:rPr>
        <w:t>万亩。</w:t>
      </w:r>
    </w:p>
    <w:p w:rsidR="007F5F66" w:rsidRDefault="008F1B68">
      <w:pPr>
        <w:pStyle w:val="F2"/>
        <w:spacing w:before="156" w:after="156"/>
      </w:pPr>
      <w:bookmarkStart w:id="37" w:name="_Toc85385420"/>
      <w:bookmarkStart w:id="38" w:name="_Toc96791008"/>
      <w:r>
        <w:rPr>
          <w:rFonts w:hint="eastAsia"/>
        </w:rPr>
        <w:t>表</w:t>
      </w:r>
      <w:r>
        <w:rPr>
          <w:rFonts w:hint="eastAsia"/>
        </w:rPr>
        <w:t>3-3</w:t>
      </w:r>
      <w:r>
        <w:rPr>
          <w:rFonts w:hint="eastAsia"/>
        </w:rPr>
        <w:t>嵊州市“十四五”时期任务指标完成情况</w:t>
      </w:r>
      <w:bookmarkEnd w:id="37"/>
      <w:r>
        <w:rPr>
          <w:rFonts w:hint="eastAsia"/>
        </w:rPr>
        <w:t>表</w:t>
      </w:r>
      <w:bookmarkEnd w:id="38"/>
    </w:p>
    <w:p w:rsidR="007F5F66" w:rsidRDefault="008F1B68">
      <w:pPr>
        <w:pStyle w:val="E"/>
        <w:spacing w:beforeLines="0" w:afterLines="0" w:line="240" w:lineRule="exact"/>
        <w:ind w:firstLine="440"/>
        <w:jc w:val="right"/>
        <w:rPr>
          <w:rFonts w:ascii="仿宋" w:hAnsi="仿宋"/>
          <w:sz w:val="22"/>
          <w:szCs w:val="22"/>
        </w:rPr>
      </w:pPr>
      <w:r>
        <w:rPr>
          <w:rFonts w:ascii="仿宋" w:hAnsi="仿宋" w:hint="eastAsia"/>
          <w:sz w:val="22"/>
          <w:szCs w:val="22"/>
        </w:rPr>
        <w:t>单位：万亩、个</w:t>
      </w:r>
    </w:p>
    <w:tbl>
      <w:tblPr>
        <w:tblW w:w="5000" w:type="pct"/>
        <w:tblLook w:val="04A0" w:firstRow="1" w:lastRow="0" w:firstColumn="1" w:lastColumn="0" w:noHBand="0" w:noVBand="1"/>
      </w:tblPr>
      <w:tblGrid>
        <w:gridCol w:w="1493"/>
        <w:gridCol w:w="1330"/>
        <w:gridCol w:w="1538"/>
        <w:gridCol w:w="1736"/>
        <w:gridCol w:w="2425"/>
      </w:tblGrid>
      <w:tr w:rsidR="007F5F66">
        <w:trPr>
          <w:trHeight w:val="288"/>
        </w:trPr>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行政区</w:t>
            </w:r>
          </w:p>
        </w:tc>
        <w:tc>
          <w:tcPr>
            <w:tcW w:w="819" w:type="pct"/>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指标</w:t>
            </w:r>
          </w:p>
        </w:tc>
        <w:tc>
          <w:tcPr>
            <w:tcW w:w="941" w:type="pct"/>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新建面积</w:t>
            </w:r>
          </w:p>
        </w:tc>
        <w:tc>
          <w:tcPr>
            <w:tcW w:w="1057" w:type="pct"/>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改造提升面积</w:t>
            </w:r>
          </w:p>
        </w:tc>
        <w:tc>
          <w:tcPr>
            <w:tcW w:w="1268" w:type="pct"/>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新增高效节水灌溉面积</w:t>
            </w:r>
          </w:p>
        </w:tc>
      </w:tr>
      <w:tr w:rsidR="007F5F66">
        <w:trPr>
          <w:trHeight w:val="288"/>
        </w:trPr>
        <w:tc>
          <w:tcPr>
            <w:tcW w:w="915" w:type="pct"/>
            <w:vMerge w:val="restart"/>
            <w:tcBorders>
              <w:top w:val="nil"/>
              <w:left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嵊州市</w:t>
            </w:r>
          </w:p>
        </w:tc>
        <w:tc>
          <w:tcPr>
            <w:tcW w:w="81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任务</w:t>
            </w:r>
          </w:p>
        </w:tc>
        <w:tc>
          <w:tcPr>
            <w:tcW w:w="941"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2.40</w:t>
            </w:r>
          </w:p>
        </w:tc>
        <w:tc>
          <w:tcPr>
            <w:tcW w:w="1057"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4.87</w:t>
            </w:r>
          </w:p>
        </w:tc>
        <w:tc>
          <w:tcPr>
            <w:tcW w:w="126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0.54</w:t>
            </w:r>
          </w:p>
        </w:tc>
      </w:tr>
      <w:tr w:rsidR="007F5F66">
        <w:trPr>
          <w:trHeight w:val="288"/>
        </w:trPr>
        <w:tc>
          <w:tcPr>
            <w:tcW w:w="915" w:type="pct"/>
            <w:vMerge/>
            <w:tcBorders>
              <w:left w:val="single" w:sz="4" w:space="0" w:color="auto"/>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c>
          <w:tcPr>
            <w:tcW w:w="81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规划</w:t>
            </w:r>
          </w:p>
        </w:tc>
        <w:tc>
          <w:tcPr>
            <w:tcW w:w="941"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2.41</w:t>
            </w:r>
          </w:p>
        </w:tc>
        <w:tc>
          <w:tcPr>
            <w:tcW w:w="1057"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4.87</w:t>
            </w:r>
          </w:p>
        </w:tc>
        <w:tc>
          <w:tcPr>
            <w:tcW w:w="126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0.55</w:t>
            </w:r>
          </w:p>
        </w:tc>
      </w:tr>
    </w:tbl>
    <w:p w:rsidR="007F5F66" w:rsidRDefault="008F1B68">
      <w:pPr>
        <w:pStyle w:val="E"/>
        <w:spacing w:before="156" w:after="156"/>
        <w:ind w:firstLine="560"/>
      </w:pPr>
      <w:r>
        <w:rPr>
          <w:rFonts w:hint="eastAsia"/>
        </w:rPr>
        <w:t>（</w:t>
      </w:r>
      <w:r>
        <w:rPr>
          <w:rFonts w:hint="eastAsia"/>
        </w:rPr>
        <w:t>5</w:t>
      </w:r>
      <w:r>
        <w:rPr>
          <w:rFonts w:hint="eastAsia"/>
        </w:rPr>
        <w:t>）重点工程示范项目</w:t>
      </w:r>
    </w:p>
    <w:p w:rsidR="007F5F66" w:rsidRDefault="008F1B68">
      <w:pPr>
        <w:pStyle w:val="E"/>
        <w:spacing w:before="156" w:after="156"/>
        <w:ind w:firstLine="560"/>
      </w:pPr>
      <w:r>
        <w:rPr>
          <w:rFonts w:hint="eastAsia"/>
        </w:rPr>
        <w:t>重点工程项目包括绿色农田建设示范工程、数字农田建设示范工</w:t>
      </w:r>
      <w:r>
        <w:rPr>
          <w:rFonts w:hint="eastAsia"/>
        </w:rPr>
        <w:lastRenderedPageBreak/>
        <w:t>程、高效节水灌溉示范工程和整区推进示范工程。绿色农田建设示范工程，至规划期末（</w:t>
      </w:r>
      <w:r>
        <w:rPr>
          <w:rFonts w:hint="eastAsia"/>
        </w:rPr>
        <w:t>2025</w:t>
      </w:r>
      <w:r>
        <w:rPr>
          <w:rFonts w:hint="eastAsia"/>
        </w:rPr>
        <w:t>年），嵊州市规划绿色农田建设示范工程</w:t>
      </w:r>
      <w:r>
        <w:rPr>
          <w:rFonts w:hint="eastAsia"/>
        </w:rPr>
        <w:t>2</w:t>
      </w:r>
      <w:r>
        <w:rPr>
          <w:rFonts w:hint="eastAsia"/>
        </w:rPr>
        <w:t>个，累计建设绿色农田示范区</w:t>
      </w:r>
      <w:r>
        <w:rPr>
          <w:rFonts w:hint="eastAsia"/>
        </w:rPr>
        <w:t>0.6</w:t>
      </w:r>
      <w:r>
        <w:rPr>
          <w:rFonts w:hint="eastAsia"/>
        </w:rPr>
        <w:t>万亩以上；数字农田建设示范工程、高效节水灌溉示范工程和整区推进示范工程，待明确建设任务及实施细则后，再由全市规划统筹实施。</w:t>
      </w:r>
    </w:p>
    <w:p w:rsidR="007F5F66" w:rsidRDefault="008F1B68">
      <w:pPr>
        <w:pStyle w:val="D"/>
        <w:spacing w:before="156" w:after="156"/>
        <w:ind w:firstLine="562"/>
      </w:pPr>
      <w:r>
        <w:rPr>
          <w:rFonts w:hint="eastAsia"/>
        </w:rPr>
        <w:t>2.</w:t>
      </w:r>
      <w:r>
        <w:rPr>
          <w:rFonts w:hint="eastAsia"/>
        </w:rPr>
        <w:t>任务指标分解</w:t>
      </w:r>
    </w:p>
    <w:p w:rsidR="007F5F66" w:rsidRDefault="008F1B68">
      <w:pPr>
        <w:pStyle w:val="E"/>
        <w:spacing w:before="156" w:after="156"/>
        <w:ind w:firstLine="560"/>
      </w:pPr>
      <w:r>
        <w:rPr>
          <w:rFonts w:hint="eastAsia"/>
        </w:rPr>
        <w:t>“十四五”时期，嵊州市规划新建高标准农田</w:t>
      </w:r>
      <w:r>
        <w:rPr>
          <w:rFonts w:hint="eastAsia"/>
        </w:rPr>
        <w:t>2.41</w:t>
      </w:r>
      <w:r>
        <w:rPr>
          <w:rFonts w:hint="eastAsia"/>
        </w:rPr>
        <w:t>万亩，其中新增高效节水灌溉面积</w:t>
      </w:r>
      <w:r>
        <w:rPr>
          <w:rFonts w:hint="eastAsia"/>
        </w:rPr>
        <w:t>0.55</w:t>
      </w:r>
      <w:r>
        <w:rPr>
          <w:rFonts w:hint="eastAsia"/>
        </w:rPr>
        <w:t>万亩，主要分布崇仁镇、黄泽镇、金庭镇、鹿山街道、浦口街道、石璜镇、下王镇和仙岩镇。</w:t>
      </w:r>
    </w:p>
    <w:p w:rsidR="007F5F66" w:rsidRDefault="008F1B68">
      <w:pPr>
        <w:pStyle w:val="E"/>
        <w:spacing w:before="156" w:after="156"/>
        <w:ind w:firstLine="560"/>
      </w:pPr>
      <w:r>
        <w:t>根据空间布局分析，嵊州市优质耕地集中分布于嵊新盆地，</w:t>
      </w:r>
      <w:r>
        <w:rPr>
          <w:rFonts w:hint="eastAsia"/>
        </w:rPr>
        <w:t>“十四五”时期，全市改造提升类项目</w:t>
      </w:r>
      <w:r>
        <w:rPr>
          <w:rFonts w:hint="eastAsia"/>
        </w:rPr>
        <w:t>4.87</w:t>
      </w:r>
      <w:r>
        <w:rPr>
          <w:rFonts w:hint="eastAsia"/>
        </w:rPr>
        <w:t>万亩，集中安排于粮食生产功能区乡镇，分别是甘霖镇、三界镇、崇仁镇、长乐镇、黄泽镇和石璜镇。</w:t>
      </w:r>
    </w:p>
    <w:p w:rsidR="007F5F66" w:rsidRDefault="008F1B68">
      <w:pPr>
        <w:pStyle w:val="E"/>
        <w:spacing w:before="156" w:after="156"/>
        <w:ind w:firstLine="560"/>
      </w:pPr>
      <w:r>
        <w:rPr>
          <w:rFonts w:hint="eastAsia"/>
        </w:rPr>
        <w:t>示范区类项目中确定绿色农田试点项目</w:t>
      </w:r>
      <w:r>
        <w:rPr>
          <w:rFonts w:hint="eastAsia"/>
        </w:rPr>
        <w:t>2</w:t>
      </w:r>
      <w:r>
        <w:rPr>
          <w:rFonts w:hint="eastAsia"/>
        </w:rPr>
        <w:t>个，项目规模</w:t>
      </w:r>
      <w:r>
        <w:rPr>
          <w:rFonts w:hint="eastAsia"/>
        </w:rPr>
        <w:t>0.4</w:t>
      </w:r>
      <w:r>
        <w:rPr>
          <w:rFonts w:hint="eastAsia"/>
        </w:rPr>
        <w:t>万亩，分别位于甘霖镇和三界镇。</w:t>
      </w:r>
    </w:p>
    <w:p w:rsidR="007F5F66" w:rsidRDefault="008F1B68">
      <w:pPr>
        <w:pStyle w:val="F2"/>
        <w:spacing w:before="156" w:after="156"/>
      </w:pPr>
      <w:bookmarkStart w:id="39" w:name="_Toc96791009"/>
      <w:r>
        <w:rPr>
          <w:rFonts w:hint="eastAsia"/>
        </w:rPr>
        <w:t>表</w:t>
      </w:r>
      <w:r>
        <w:rPr>
          <w:rFonts w:hint="eastAsia"/>
        </w:rPr>
        <w:t>3-4</w:t>
      </w:r>
      <w:r>
        <w:rPr>
          <w:rFonts w:hint="eastAsia"/>
        </w:rPr>
        <w:t>嵊州市各乡镇（街道）任务指标分解表</w:t>
      </w:r>
      <w:bookmarkEnd w:id="39"/>
    </w:p>
    <w:p w:rsidR="007F5F66" w:rsidRDefault="008F1B68">
      <w:pPr>
        <w:pStyle w:val="E"/>
        <w:spacing w:beforeLines="0" w:afterLines="0" w:line="240" w:lineRule="exact"/>
        <w:ind w:firstLine="440"/>
        <w:jc w:val="right"/>
        <w:rPr>
          <w:rFonts w:ascii="仿宋" w:hAnsi="仿宋"/>
          <w:sz w:val="22"/>
          <w:szCs w:val="22"/>
        </w:rPr>
      </w:pPr>
      <w:r>
        <w:rPr>
          <w:rFonts w:ascii="仿宋" w:hAnsi="仿宋" w:hint="eastAsia"/>
          <w:sz w:val="22"/>
          <w:szCs w:val="22"/>
        </w:rPr>
        <w:t>单位：亩</w:t>
      </w:r>
    </w:p>
    <w:tbl>
      <w:tblPr>
        <w:tblW w:w="5000" w:type="pct"/>
        <w:tblLook w:val="04A0" w:firstRow="1" w:lastRow="0" w:firstColumn="1" w:lastColumn="0" w:noHBand="0" w:noVBand="1"/>
      </w:tblPr>
      <w:tblGrid>
        <w:gridCol w:w="1718"/>
        <w:gridCol w:w="927"/>
        <w:gridCol w:w="2758"/>
        <w:gridCol w:w="1425"/>
        <w:gridCol w:w="1694"/>
      </w:tblGrid>
      <w:tr w:rsidR="007F5F66">
        <w:trPr>
          <w:trHeight w:val="288"/>
        </w:trPr>
        <w:tc>
          <w:tcPr>
            <w:tcW w:w="1008" w:type="pct"/>
            <w:vMerge w:val="restart"/>
            <w:tcBorders>
              <w:top w:val="single" w:sz="4" w:space="0" w:color="auto"/>
              <w:left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行政区</w:t>
            </w:r>
          </w:p>
        </w:tc>
        <w:tc>
          <w:tcPr>
            <w:tcW w:w="2162" w:type="pct"/>
            <w:gridSpan w:val="2"/>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新建类</w:t>
            </w:r>
          </w:p>
        </w:tc>
        <w:tc>
          <w:tcPr>
            <w:tcW w:w="836" w:type="pct"/>
            <w:vMerge w:val="restart"/>
            <w:tcBorders>
              <w:top w:val="single" w:sz="4" w:space="0" w:color="auto"/>
              <w:left w:val="nil"/>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改造提升类</w:t>
            </w:r>
          </w:p>
        </w:tc>
        <w:tc>
          <w:tcPr>
            <w:tcW w:w="994" w:type="pct"/>
            <w:vMerge w:val="restart"/>
            <w:tcBorders>
              <w:top w:val="single" w:sz="4" w:space="0" w:color="auto"/>
              <w:left w:val="nil"/>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示范区类</w:t>
            </w:r>
          </w:p>
        </w:tc>
      </w:tr>
      <w:tr w:rsidR="007F5F66">
        <w:trPr>
          <w:trHeight w:val="288"/>
        </w:trPr>
        <w:tc>
          <w:tcPr>
            <w:tcW w:w="1008" w:type="pct"/>
            <w:vMerge/>
            <w:tcBorders>
              <w:left w:val="single" w:sz="4" w:space="0" w:color="auto"/>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b/>
                <w:color w:val="000000"/>
                <w:sz w:val="22"/>
              </w:rPr>
            </w:pP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合计</w:t>
            </w:r>
          </w:p>
        </w:tc>
        <w:tc>
          <w:tcPr>
            <w:tcW w:w="1618" w:type="pct"/>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其中高效节水灌溉面积</w:t>
            </w:r>
          </w:p>
        </w:tc>
        <w:tc>
          <w:tcPr>
            <w:tcW w:w="836" w:type="pct"/>
            <w:vMerge/>
            <w:tcBorders>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b/>
                <w:color w:val="000000"/>
                <w:sz w:val="22"/>
              </w:rPr>
            </w:pPr>
          </w:p>
        </w:tc>
        <w:tc>
          <w:tcPr>
            <w:tcW w:w="994" w:type="pct"/>
            <w:vMerge/>
            <w:tcBorders>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b/>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嵊州市</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24105</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5525</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48700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b/>
                <w:color w:val="000000"/>
                <w:sz w:val="22"/>
              </w:rPr>
            </w:pPr>
            <w:r>
              <w:rPr>
                <w:rFonts w:ascii="仿宋" w:eastAsia="仿宋" w:hAnsi="仿宋" w:cs="宋体" w:hint="eastAsia"/>
                <w:b/>
                <w:color w:val="000000"/>
                <w:sz w:val="22"/>
              </w:rPr>
              <w:t>4000</w:t>
            </w: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崇仁镇</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7433</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1874</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8000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甘霖镇</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10000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2000</w:t>
            </w: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谷来镇</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1703</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贵门乡</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黄泽镇</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3248</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793</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6000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lastRenderedPageBreak/>
              <w:t>金庭镇</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3359</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757</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鹿山街道</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1968</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445</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2033</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浦口街道</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2291</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515</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三江街道</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三界镇</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9000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2000</w:t>
            </w: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剡湖街道</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石璜镇</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2207</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312</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4351</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下王镇</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1394</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314</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仙岩镇</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2205</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515</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jc w:val="center"/>
              <w:rPr>
                <w:rFonts w:ascii="仿宋" w:eastAsia="仿宋" w:hAnsi="仿宋"/>
                <w:sz w:val="22"/>
              </w:rPr>
            </w:pPr>
            <w:r>
              <w:rPr>
                <w:rFonts w:ascii="仿宋" w:eastAsia="仿宋" w:hAnsi="仿宋" w:cs="宋体" w:hint="eastAsia"/>
                <w:color w:val="000000"/>
                <w:sz w:val="22"/>
              </w:rPr>
              <w:t>0</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r w:rsidR="007F5F66">
        <w:trPr>
          <w:trHeight w:val="288"/>
        </w:trPr>
        <w:tc>
          <w:tcPr>
            <w:tcW w:w="1008"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长乐镇</w:t>
            </w:r>
          </w:p>
        </w:tc>
        <w:tc>
          <w:tcPr>
            <w:tcW w:w="54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0</w:t>
            </w:r>
          </w:p>
        </w:tc>
        <w:tc>
          <w:tcPr>
            <w:tcW w:w="1618"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0</w:t>
            </w:r>
          </w:p>
        </w:tc>
        <w:tc>
          <w:tcPr>
            <w:tcW w:w="836"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7613</w:t>
            </w:r>
          </w:p>
        </w:tc>
        <w:tc>
          <w:tcPr>
            <w:tcW w:w="994" w:type="pct"/>
            <w:tcBorders>
              <w:top w:val="nil"/>
              <w:left w:val="nil"/>
              <w:bottom w:val="single" w:sz="4" w:space="0" w:color="auto"/>
              <w:right w:val="single" w:sz="4" w:space="0" w:color="auto"/>
            </w:tcBorders>
            <w:shd w:val="clear" w:color="auto" w:fill="auto"/>
            <w:noWrap/>
            <w:vAlign w:val="center"/>
          </w:tcPr>
          <w:p w:rsidR="007F5F66" w:rsidRDefault="007F5F66">
            <w:pPr>
              <w:widowControl/>
              <w:jc w:val="center"/>
              <w:rPr>
                <w:rFonts w:ascii="仿宋" w:eastAsia="仿宋" w:hAnsi="仿宋" w:cs="宋体"/>
                <w:color w:val="000000"/>
                <w:sz w:val="22"/>
              </w:rPr>
            </w:pPr>
          </w:p>
        </w:tc>
      </w:tr>
    </w:tbl>
    <w:p w:rsidR="007F5F66" w:rsidRDefault="007F5F66">
      <w:pPr>
        <w:pStyle w:val="B"/>
        <w:spacing w:before="468" w:after="468"/>
        <w:rPr>
          <w:rStyle w:val="EChar"/>
          <w:iCs w:val="0"/>
          <w:color w:val="auto"/>
          <w:sz w:val="36"/>
        </w:rPr>
        <w:sectPr w:rsidR="007F5F66">
          <w:pgSz w:w="11906" w:h="16838"/>
          <w:pgMar w:top="1440" w:right="1800" w:bottom="1440" w:left="1800" w:header="851" w:footer="992" w:gutter="0"/>
          <w:pgNumType w:fmt="numberInDash"/>
          <w:cols w:space="425"/>
          <w:docGrid w:type="lines" w:linePitch="312"/>
        </w:sectPr>
      </w:pPr>
      <w:bookmarkStart w:id="40" w:name="_Toc96439423"/>
    </w:p>
    <w:p w:rsidR="007F5F66" w:rsidRDefault="008F1B68">
      <w:pPr>
        <w:pStyle w:val="B"/>
        <w:spacing w:before="468" w:after="468"/>
        <w:rPr>
          <w:rStyle w:val="EChar"/>
          <w:iCs w:val="0"/>
          <w:color w:val="auto"/>
          <w:sz w:val="36"/>
        </w:rPr>
      </w:pPr>
      <w:r>
        <w:rPr>
          <w:rStyle w:val="EChar"/>
          <w:rFonts w:hint="eastAsia"/>
          <w:iCs w:val="0"/>
          <w:color w:val="auto"/>
          <w:sz w:val="36"/>
        </w:rPr>
        <w:lastRenderedPageBreak/>
        <w:t>四、建设内容</w:t>
      </w:r>
      <w:r>
        <w:rPr>
          <w:rStyle w:val="EChar"/>
          <w:iCs w:val="0"/>
          <w:color w:val="auto"/>
          <w:sz w:val="36"/>
        </w:rPr>
        <w:t>和标准</w:t>
      </w:r>
      <w:bookmarkEnd w:id="40"/>
    </w:p>
    <w:p w:rsidR="007F5F66" w:rsidRPr="008F1B68" w:rsidRDefault="008F1B68">
      <w:pPr>
        <w:pStyle w:val="E"/>
        <w:spacing w:before="156" w:after="156"/>
        <w:ind w:firstLine="560"/>
      </w:pPr>
      <w:r w:rsidRPr="008F1B68">
        <w:rPr>
          <w:rFonts w:hint="eastAsia"/>
        </w:rPr>
        <w:t>按照乡村振兴战略部署要求，统筹考虑高标准农田建设的农业、水利、土地、林业、电力、气象等各方面因素，围绕提升农田生产能力、灌排能力、田间道路通行运输能力、农田防护与生态环境保护能力、机械化水平、科技应用水平、建后管护能力等要求，紧扣田、土、水、路、林、电、技、管八个方面内容，对高标准农田建设统一规划设计、建设标准、组织实施、验收考核、上图入库。</w:t>
      </w:r>
    </w:p>
    <w:p w:rsidR="007F5F66" w:rsidRPr="008F1B68" w:rsidRDefault="008F1B68">
      <w:pPr>
        <w:pStyle w:val="C"/>
        <w:spacing w:before="312" w:after="312"/>
        <w:rPr>
          <w:color w:val="000000"/>
        </w:rPr>
      </w:pPr>
      <w:bookmarkStart w:id="41" w:name="_Toc93749848"/>
      <w:bookmarkStart w:id="42" w:name="_Toc96439424"/>
      <w:r w:rsidRPr="008F1B68">
        <w:rPr>
          <w:rFonts w:hint="eastAsia"/>
          <w:color w:val="000000"/>
        </w:rPr>
        <w:t>（一）田块整治</w:t>
      </w:r>
      <w:bookmarkEnd w:id="41"/>
      <w:bookmarkEnd w:id="42"/>
    </w:p>
    <w:p w:rsidR="007F5F66" w:rsidRPr="008F1B68" w:rsidRDefault="008F1B68">
      <w:pPr>
        <w:pStyle w:val="E"/>
        <w:spacing w:before="156" w:after="156"/>
        <w:ind w:firstLine="560"/>
      </w:pPr>
      <w:r w:rsidRPr="008F1B68">
        <w:t>1.</w:t>
      </w:r>
      <w:r w:rsidRPr="008F1B68">
        <w:rPr>
          <w:rFonts w:hint="eastAsia"/>
        </w:rPr>
        <w:t>建设内容。根据地形地貌、种植制度、机械作业效率、灌排效率和气候区划、气象风险等因素，开展田块整治建设，加快耕作田块修筑，保持耕作层地力。将分散的地块进行有效平整，提高田块归并程度，实现耕作田块相对集中；通过机械深耕深松、客土回填调节土壤质地，改善农田耕作层；因地制宜进行梯田修建和改造提升，按照有利于水土保持要求，采用砖、石、混凝土、土体夯实或植物坎等对田坎进行保护。</w:t>
      </w:r>
    </w:p>
    <w:p w:rsidR="007F5F66" w:rsidRPr="008F1B68" w:rsidRDefault="008F1B68">
      <w:pPr>
        <w:pStyle w:val="E"/>
        <w:spacing w:before="156" w:after="156"/>
        <w:ind w:firstLine="560"/>
      </w:pPr>
      <w:r w:rsidRPr="008F1B68">
        <w:t>2.</w:t>
      </w:r>
      <w:r w:rsidRPr="008F1B68">
        <w:rPr>
          <w:rFonts w:hint="eastAsia"/>
        </w:rPr>
        <w:t>建设标准。有效土体厚度在</w:t>
      </w:r>
      <w:r w:rsidRPr="008F1B68">
        <w:t>50</w:t>
      </w:r>
      <w:r w:rsidRPr="008F1B68">
        <w:rPr>
          <w:rFonts w:hint="eastAsia"/>
        </w:rPr>
        <w:t>厘米以上，耕作层厚度大于</w:t>
      </w:r>
      <w:r w:rsidRPr="008F1B68">
        <w:t>20</w:t>
      </w:r>
      <w:r w:rsidRPr="008F1B68">
        <w:rPr>
          <w:rFonts w:hint="eastAsia"/>
        </w:rPr>
        <w:t>厘米，土体中无明显粘盘层、砂砾层等障碍因素，田间基础设施占地率不超过</w:t>
      </w:r>
      <w:r w:rsidRPr="008F1B68">
        <w:t>8%</w:t>
      </w:r>
      <w:r w:rsidRPr="008F1B68">
        <w:rPr>
          <w:rFonts w:hint="eastAsia"/>
        </w:rPr>
        <w:t>，稻作淹灌农田地表平整度不高于</w:t>
      </w:r>
      <w:r w:rsidRPr="008F1B68">
        <w:t>2.5</w:t>
      </w:r>
      <w:r w:rsidRPr="008F1B68">
        <w:rPr>
          <w:rFonts w:hint="eastAsia"/>
        </w:rPr>
        <w:t>厘米。</w:t>
      </w:r>
    </w:p>
    <w:p w:rsidR="007F5F66" w:rsidRDefault="007F5F66">
      <w:pPr>
        <w:pStyle w:val="E"/>
        <w:spacing w:before="156" w:after="156"/>
        <w:ind w:firstLine="560"/>
      </w:pPr>
      <w:bookmarkStart w:id="43" w:name="_Toc96439425"/>
      <w:bookmarkStart w:id="44" w:name="_Toc93749849"/>
    </w:p>
    <w:p w:rsidR="007F5F66" w:rsidRPr="008F1B68" w:rsidRDefault="008F1B68">
      <w:pPr>
        <w:pStyle w:val="C"/>
        <w:spacing w:before="312" w:after="312"/>
        <w:rPr>
          <w:color w:val="000000"/>
        </w:rPr>
      </w:pPr>
      <w:r w:rsidRPr="008F1B68">
        <w:rPr>
          <w:rFonts w:hint="eastAsia"/>
          <w:color w:val="000000"/>
        </w:rPr>
        <w:lastRenderedPageBreak/>
        <w:t>（二）土壤改良</w:t>
      </w:r>
      <w:bookmarkEnd w:id="43"/>
      <w:bookmarkEnd w:id="44"/>
      <w:r w:rsidRPr="008F1B68">
        <w:rPr>
          <w:color w:val="000000"/>
        </w:rPr>
        <w:t xml:space="preserve"> </w:t>
      </w:r>
    </w:p>
    <w:p w:rsidR="007F5F66" w:rsidRPr="008F1B68" w:rsidRDefault="008F1B68">
      <w:pPr>
        <w:pStyle w:val="E"/>
        <w:spacing w:before="156" w:after="156"/>
        <w:ind w:firstLine="560"/>
      </w:pPr>
      <w:r w:rsidRPr="008F1B68">
        <w:t>1.</w:t>
      </w:r>
      <w:r w:rsidRPr="008F1B68">
        <w:rPr>
          <w:rFonts w:hint="eastAsia"/>
        </w:rPr>
        <w:t>建设内容。根据高标准农田建设区耕地质量状况，针对性开展土壤培肥和改良，采用农艺、生物等各类措施，加快耕地地力提升。建立维持高标准农田地力稳定和提升的长效机制，通过实施增施有机肥、秸秆还田、绿肥种植翻压还田等土壤培肥措施，促进高标准农田地力的提升，使高标准农田地力长期稳定在较高水平；实施测土配方施肥，改善耕作层土壤理化性状，促进土壤养分平衡。</w:t>
      </w:r>
    </w:p>
    <w:p w:rsidR="007F5F66" w:rsidRPr="008F1B68" w:rsidRDefault="008F1B68">
      <w:pPr>
        <w:pStyle w:val="E"/>
        <w:spacing w:before="156" w:after="156"/>
        <w:ind w:firstLine="560"/>
      </w:pPr>
      <w:r w:rsidRPr="008F1B68">
        <w:t>2.</w:t>
      </w:r>
      <w:r w:rsidRPr="008F1B68">
        <w:rPr>
          <w:rFonts w:hint="eastAsia"/>
        </w:rPr>
        <w:t>建设标准。平原和盆地农区土壤有机质含量达到</w:t>
      </w:r>
      <w:r w:rsidRPr="008F1B68">
        <w:t>20g/kg</w:t>
      </w:r>
      <w:r w:rsidRPr="008F1B68">
        <w:rPr>
          <w:rFonts w:hint="eastAsia"/>
        </w:rPr>
        <w:t>以上，山地丘陵农区达到</w:t>
      </w:r>
      <w:r w:rsidRPr="008F1B68">
        <w:t>15g/kg</w:t>
      </w:r>
      <w:r w:rsidRPr="008F1B68">
        <w:rPr>
          <w:rFonts w:hint="eastAsia"/>
        </w:rPr>
        <w:t>以上，土壤养分含量相对平衡，土壤</w:t>
      </w:r>
      <w:r w:rsidRPr="008F1B68">
        <w:t>pH</w:t>
      </w:r>
      <w:r w:rsidRPr="008F1B68">
        <w:rPr>
          <w:rFonts w:hint="eastAsia"/>
        </w:rPr>
        <w:t>值保持在</w:t>
      </w:r>
      <w:r w:rsidRPr="008F1B68">
        <w:t>5.5</w:t>
      </w:r>
      <w:r w:rsidRPr="008F1B68">
        <w:rPr>
          <w:rFonts w:hint="eastAsia"/>
        </w:rPr>
        <w:t>～</w:t>
      </w:r>
      <w:r w:rsidRPr="008F1B68">
        <w:t>8.5</w:t>
      </w:r>
      <w:r w:rsidRPr="008F1B68">
        <w:rPr>
          <w:rFonts w:hint="eastAsia"/>
        </w:rPr>
        <w:t>，耕地质量达到当地平均等级以上。</w:t>
      </w:r>
    </w:p>
    <w:p w:rsidR="007F5F66" w:rsidRPr="008F1B68" w:rsidRDefault="008F1B68">
      <w:pPr>
        <w:pStyle w:val="C"/>
        <w:spacing w:before="312" w:after="312"/>
        <w:rPr>
          <w:color w:val="000000"/>
        </w:rPr>
      </w:pPr>
      <w:bookmarkStart w:id="45" w:name="_Toc93749850"/>
      <w:bookmarkStart w:id="46" w:name="_Toc96439426"/>
      <w:r w:rsidRPr="008F1B68">
        <w:rPr>
          <w:rFonts w:hint="eastAsia"/>
          <w:color w:val="000000"/>
        </w:rPr>
        <w:t>（三）灌排设施</w:t>
      </w:r>
      <w:bookmarkEnd w:id="45"/>
      <w:bookmarkEnd w:id="46"/>
      <w:r w:rsidRPr="008F1B68">
        <w:rPr>
          <w:color w:val="000000"/>
        </w:rPr>
        <w:t xml:space="preserve"> </w:t>
      </w:r>
    </w:p>
    <w:p w:rsidR="007F5F66" w:rsidRPr="008F1B68" w:rsidRDefault="008F1B68">
      <w:pPr>
        <w:pStyle w:val="E"/>
        <w:spacing w:before="156" w:after="156"/>
        <w:ind w:firstLine="560"/>
      </w:pPr>
      <w:r w:rsidRPr="008F1B68">
        <w:t>1.</w:t>
      </w:r>
      <w:r w:rsidRPr="008F1B68">
        <w:rPr>
          <w:rFonts w:hint="eastAsia"/>
        </w:rPr>
        <w:t>建设内容。完善农田水利基础设施，根据灌溉规模、地形条件、田间道路、耕作方式等要求，有序实施水源、输水、排水、渠系建筑物、泵站等设施建设工程，建议多采用生态沟渠工程，提升生态环境。配合水利部门通过小流域治理及农村河道整治、山塘综合整治、圩区建设等工程与非工程措施，提升高标准农田的防洪排涝能力，从“单兵突进”向“联合行动”转变，结合高标准农田建设项目，联合水利部门加快新建和改造泵站机埠、堰坝水闸、沟渠等田间配套工程，实现应纳尽纳，高标准推进农田水利基础设施建设。</w:t>
      </w:r>
    </w:p>
    <w:p w:rsidR="007F5F66" w:rsidRPr="008F1B68" w:rsidRDefault="008F1B68">
      <w:pPr>
        <w:pStyle w:val="E"/>
        <w:spacing w:before="156" w:after="156"/>
        <w:ind w:firstLine="560"/>
      </w:pPr>
      <w:r w:rsidRPr="008F1B68">
        <w:t>2.</w:t>
      </w:r>
      <w:r w:rsidRPr="008F1B68">
        <w:rPr>
          <w:rFonts w:hint="eastAsia"/>
        </w:rPr>
        <w:t>建设标准。农田灌溉设计保证率山地丘陵农区不小于</w:t>
      </w:r>
      <w:r w:rsidRPr="008F1B68">
        <w:t>80%</w:t>
      </w:r>
      <w:r w:rsidRPr="008F1B68">
        <w:rPr>
          <w:rFonts w:hint="eastAsia"/>
        </w:rPr>
        <w:t>，平</w:t>
      </w:r>
      <w:r w:rsidRPr="008F1B68">
        <w:rPr>
          <w:rFonts w:hint="eastAsia"/>
        </w:rPr>
        <w:lastRenderedPageBreak/>
        <w:t>原盆地农区不小于</w:t>
      </w:r>
      <w:r w:rsidRPr="008F1B68">
        <w:t>90%</w:t>
      </w:r>
      <w:r w:rsidRPr="008F1B68">
        <w:rPr>
          <w:rFonts w:hint="eastAsia"/>
        </w:rPr>
        <w:t>；灌溉水利用效率应不低于</w:t>
      </w:r>
      <w:r w:rsidRPr="008F1B68">
        <w:t>GB/T50363</w:t>
      </w:r>
      <w:r w:rsidRPr="008F1B68">
        <w:rPr>
          <w:rFonts w:hint="eastAsia"/>
        </w:rPr>
        <w:t>的规定；确保每一块高标准农田都有完善的灌排系统，排渍深度达</w:t>
      </w:r>
      <w:r w:rsidRPr="008F1B68">
        <w:t>0.6</w:t>
      </w:r>
      <w:r w:rsidRPr="008F1B68">
        <w:rPr>
          <w:rFonts w:hint="eastAsia"/>
        </w:rPr>
        <w:t>米以上；防洪标准达到</w:t>
      </w:r>
      <w:r w:rsidRPr="008F1B68">
        <w:t>10</w:t>
      </w:r>
      <w:r w:rsidRPr="008F1B68">
        <w:rPr>
          <w:rFonts w:hint="eastAsia"/>
        </w:rPr>
        <w:t>～</w:t>
      </w:r>
      <w:r w:rsidRPr="008F1B68">
        <w:t>20</w:t>
      </w:r>
      <w:r w:rsidRPr="008F1B68">
        <w:rPr>
          <w:rFonts w:hint="eastAsia"/>
        </w:rPr>
        <w:t>年一遇，排涝标准达到</w:t>
      </w:r>
      <w:r w:rsidRPr="008F1B68">
        <w:t>10</w:t>
      </w:r>
      <w:r w:rsidRPr="008F1B68">
        <w:rPr>
          <w:rFonts w:hint="eastAsia"/>
        </w:rPr>
        <w:t>年一遇，</w:t>
      </w:r>
      <w:r w:rsidRPr="008F1B68">
        <w:t>1</w:t>
      </w:r>
      <w:r w:rsidRPr="008F1B68">
        <w:rPr>
          <w:rFonts w:hint="eastAsia"/>
        </w:rPr>
        <w:t>～</w:t>
      </w:r>
      <w:r w:rsidRPr="008F1B68">
        <w:t>3</w:t>
      </w:r>
      <w:r w:rsidRPr="008F1B68">
        <w:rPr>
          <w:rFonts w:hint="eastAsia"/>
        </w:rPr>
        <w:t>天暴雨</w:t>
      </w:r>
      <w:r w:rsidRPr="008F1B68">
        <w:t>3</w:t>
      </w:r>
      <w:r w:rsidRPr="008F1B68">
        <w:rPr>
          <w:rFonts w:hint="eastAsia"/>
        </w:rPr>
        <w:t>～</w:t>
      </w:r>
      <w:r w:rsidRPr="008F1B68">
        <w:t>5</w:t>
      </w:r>
      <w:r w:rsidRPr="008F1B68">
        <w:rPr>
          <w:rFonts w:hint="eastAsia"/>
        </w:rPr>
        <w:t>天排至农作物耐淹水深。</w:t>
      </w:r>
    </w:p>
    <w:p w:rsidR="007F5F66" w:rsidRPr="008F1B68" w:rsidRDefault="008F1B68">
      <w:pPr>
        <w:pStyle w:val="C"/>
        <w:spacing w:before="312" w:after="312"/>
        <w:rPr>
          <w:color w:val="000000"/>
        </w:rPr>
      </w:pPr>
      <w:bookmarkStart w:id="47" w:name="_Toc96439427"/>
      <w:bookmarkStart w:id="48" w:name="_Toc93749851"/>
      <w:r w:rsidRPr="008F1B68">
        <w:rPr>
          <w:rFonts w:hint="eastAsia"/>
          <w:color w:val="000000"/>
        </w:rPr>
        <w:t>（四）田间道路</w:t>
      </w:r>
      <w:bookmarkEnd w:id="47"/>
      <w:bookmarkEnd w:id="48"/>
      <w:r w:rsidRPr="008F1B68">
        <w:rPr>
          <w:color w:val="000000"/>
        </w:rPr>
        <w:t xml:space="preserve"> </w:t>
      </w:r>
    </w:p>
    <w:p w:rsidR="007F5F66" w:rsidRPr="008F1B68" w:rsidRDefault="008F1B68">
      <w:pPr>
        <w:pStyle w:val="E"/>
        <w:spacing w:before="156" w:after="156"/>
        <w:ind w:firstLine="560"/>
      </w:pPr>
      <w:r w:rsidRPr="008F1B68">
        <w:t>1.</w:t>
      </w:r>
      <w:r w:rsidRPr="008F1B68">
        <w:rPr>
          <w:rFonts w:hint="eastAsia"/>
        </w:rPr>
        <w:t>建设内容。为满足现代农业生产、农业物资运输、农业机械化和其它农业生产活动需要，在田、水、林、电、村规划基础上，合理确定田间道路密度，整修或新建田间道路，配套建设桥、涵和农机下田坡道，满足农产品运输及农业机械的通行和作业要求。提倡建设生态型田间道路，减少硬化路面及附属设施对生态的不利影响。</w:t>
      </w:r>
    </w:p>
    <w:p w:rsidR="007F5F66" w:rsidRPr="008F1B68" w:rsidRDefault="008F1B68">
      <w:pPr>
        <w:pStyle w:val="E"/>
        <w:spacing w:before="156" w:after="156"/>
        <w:ind w:firstLine="560"/>
      </w:pPr>
      <w:r w:rsidRPr="008F1B68">
        <w:t>2.</w:t>
      </w:r>
      <w:r w:rsidRPr="008F1B68">
        <w:rPr>
          <w:rFonts w:hint="eastAsia"/>
        </w:rPr>
        <w:t>建设标准。田间道路布局合理，田间道（机耕路）的路面宽度宜为</w:t>
      </w:r>
      <w:r w:rsidRPr="008F1B68">
        <w:t>3</w:t>
      </w:r>
      <w:r w:rsidRPr="008F1B68">
        <w:rPr>
          <w:rFonts w:hint="eastAsia"/>
        </w:rPr>
        <w:t>～</w:t>
      </w:r>
      <w:r w:rsidRPr="008F1B68">
        <w:t>6</w:t>
      </w:r>
      <w:r w:rsidRPr="008F1B68">
        <w:rPr>
          <w:rFonts w:hint="eastAsia"/>
        </w:rPr>
        <w:t>米，生产路的路面宽度不宜超过</w:t>
      </w:r>
      <w:r w:rsidRPr="008F1B68">
        <w:t>3</w:t>
      </w:r>
      <w:r w:rsidRPr="008F1B68">
        <w:rPr>
          <w:rFonts w:hint="eastAsia"/>
        </w:rPr>
        <w:t>米，尽量利用现有路基，在大型机械化作业区，农机交汇点路面宽度可适当放宽。田间道（机耕路）路面宜采用混凝土、沥青、碎石等材质，因地制宜对部分主干路实施硬化措施，生产路的路面可采用泥结石、混凝土等材质。同时要做好路与田的连接，机坡设置既要便于农机下田，又要节约土地。道路通达度平原区达到</w:t>
      </w:r>
      <w:r w:rsidRPr="008F1B68">
        <w:t>100%</w:t>
      </w:r>
      <w:r w:rsidRPr="008F1B68">
        <w:rPr>
          <w:rFonts w:hint="eastAsia"/>
        </w:rPr>
        <w:t>，其他地区不低于</w:t>
      </w:r>
      <w:r w:rsidRPr="008F1B68">
        <w:t>90%</w:t>
      </w:r>
      <w:r w:rsidRPr="008F1B68">
        <w:rPr>
          <w:rFonts w:hint="eastAsia"/>
        </w:rPr>
        <w:t>。</w:t>
      </w:r>
    </w:p>
    <w:p w:rsidR="007F5F66" w:rsidRPr="008F1B68" w:rsidRDefault="008F1B68">
      <w:pPr>
        <w:pStyle w:val="C"/>
        <w:spacing w:before="312" w:after="312"/>
        <w:rPr>
          <w:color w:val="000000"/>
        </w:rPr>
      </w:pPr>
      <w:bookmarkStart w:id="49" w:name="_Toc96439428"/>
      <w:bookmarkStart w:id="50" w:name="_Toc93749852"/>
      <w:r w:rsidRPr="008F1B68">
        <w:rPr>
          <w:rFonts w:hint="eastAsia"/>
          <w:color w:val="000000"/>
        </w:rPr>
        <w:t>（五）科技服务</w:t>
      </w:r>
      <w:bookmarkEnd w:id="49"/>
      <w:bookmarkEnd w:id="50"/>
      <w:r w:rsidRPr="008F1B68">
        <w:rPr>
          <w:color w:val="000000"/>
        </w:rPr>
        <w:t xml:space="preserve"> </w:t>
      </w:r>
    </w:p>
    <w:p w:rsidR="007F5F66" w:rsidRPr="008F1B68" w:rsidRDefault="008F1B68">
      <w:pPr>
        <w:pStyle w:val="E"/>
        <w:spacing w:before="156" w:after="156"/>
        <w:ind w:firstLine="560"/>
      </w:pPr>
      <w:r w:rsidRPr="008F1B68">
        <w:t>1.</w:t>
      </w:r>
      <w:r w:rsidRPr="008F1B68">
        <w:rPr>
          <w:rFonts w:hint="eastAsia"/>
        </w:rPr>
        <w:t>建设内容。充分利用高标准农田基础条件，合理安排种养结构，推广应用高效节水灌溉技术、水肥一体化灌溉技术、化肥农药定额制</w:t>
      </w:r>
      <w:r w:rsidRPr="008F1B68">
        <w:rPr>
          <w:rFonts w:hint="eastAsia"/>
        </w:rPr>
        <w:lastRenderedPageBreak/>
        <w:t>施用技术等。深化农机农艺融合，大力推广先进适用机具，提高农业机械化水平。推广农民科技培训，引导和指导农民进行全过程规范化、标准化种植，提高技术到位率。加强优良品种引进推广，组织实施现代种业发展工程，积极开展种质资源保护和开发利用，提高种子种苗商品化率和主导品种覆盖率。健全耕地质量监测体系，持续实施测土配方施肥。</w:t>
      </w:r>
    </w:p>
    <w:p w:rsidR="007F5F66" w:rsidRPr="008F1B68" w:rsidRDefault="008F1B68">
      <w:pPr>
        <w:pStyle w:val="E"/>
        <w:spacing w:before="156" w:after="156"/>
        <w:ind w:firstLine="560"/>
      </w:pPr>
      <w:r w:rsidRPr="008F1B68">
        <w:t>2.</w:t>
      </w:r>
      <w:r w:rsidRPr="008F1B68">
        <w:rPr>
          <w:rFonts w:hint="eastAsia"/>
        </w:rPr>
        <w:t>建设标准。高标准农田区域的良种覆盖率达到</w:t>
      </w:r>
      <w:r w:rsidRPr="008F1B68">
        <w:t>95%</w:t>
      </w:r>
      <w:r w:rsidRPr="008F1B68">
        <w:rPr>
          <w:rFonts w:hint="eastAsia"/>
        </w:rPr>
        <w:t>以上，测土配方施肥覆盖率应达到</w:t>
      </w:r>
      <w:r w:rsidRPr="008F1B68">
        <w:t>95%</w:t>
      </w:r>
      <w:r w:rsidRPr="008F1B68">
        <w:rPr>
          <w:rFonts w:hint="eastAsia"/>
        </w:rPr>
        <w:t>以上，水稻病虫害统防统治覆盖率达到</w:t>
      </w:r>
      <w:r w:rsidRPr="008F1B68">
        <w:t>50%</w:t>
      </w:r>
      <w:r w:rsidRPr="008F1B68">
        <w:rPr>
          <w:rFonts w:hint="eastAsia"/>
        </w:rPr>
        <w:t>以上。</w:t>
      </w:r>
    </w:p>
    <w:p w:rsidR="007F5F66" w:rsidRPr="008F1B68" w:rsidRDefault="008F1B68">
      <w:pPr>
        <w:pStyle w:val="C"/>
        <w:spacing w:before="312" w:after="312"/>
        <w:rPr>
          <w:color w:val="000000"/>
        </w:rPr>
      </w:pPr>
      <w:bookmarkStart w:id="51" w:name="_Toc93749853"/>
      <w:bookmarkStart w:id="52" w:name="_Toc96439429"/>
      <w:r w:rsidRPr="008F1B68">
        <w:rPr>
          <w:rFonts w:hint="eastAsia"/>
          <w:color w:val="000000"/>
        </w:rPr>
        <w:t>（六）生态防护</w:t>
      </w:r>
      <w:bookmarkEnd w:id="51"/>
      <w:bookmarkEnd w:id="52"/>
      <w:r w:rsidRPr="008F1B68">
        <w:rPr>
          <w:color w:val="000000"/>
        </w:rPr>
        <w:t xml:space="preserve"> </w:t>
      </w:r>
    </w:p>
    <w:p w:rsidR="007F5F66" w:rsidRPr="008F1B68" w:rsidRDefault="008F1B68">
      <w:pPr>
        <w:pStyle w:val="E"/>
        <w:spacing w:before="156" w:after="156"/>
        <w:ind w:firstLine="560"/>
      </w:pPr>
      <w:r w:rsidRPr="008F1B68">
        <w:t>1.</w:t>
      </w:r>
      <w:r w:rsidRPr="008F1B68">
        <w:rPr>
          <w:rFonts w:hint="eastAsia"/>
        </w:rPr>
        <w:t>建设内容。推广生态型治理措施，注重生态沟渠及地表径流集蓄与利用设施建设，统筹整合其他资金，在排渠中因地制宜推广农田氮磷生态拦截沟渠系统建设，减少农田氮磷排放对环境的影响，加强农田防护与生态环境保持。根据防护需要，在主要道路和干渠两侧，适时、适地、适树建设农田防护林。在水土流失易发地区，科学合理修筑岸坡防护、沟道治理、坡面防护等设施。</w:t>
      </w:r>
    </w:p>
    <w:p w:rsidR="007F5F66" w:rsidRPr="008F1B68" w:rsidRDefault="008F1B68">
      <w:pPr>
        <w:pStyle w:val="E"/>
        <w:spacing w:before="156" w:after="156"/>
        <w:ind w:firstLine="560"/>
      </w:pPr>
      <w:r w:rsidRPr="008F1B68">
        <w:t>2.</w:t>
      </w:r>
      <w:r w:rsidRPr="008F1B68">
        <w:rPr>
          <w:rFonts w:hint="eastAsia"/>
        </w:rPr>
        <w:t>建设标准。农田防护与生态环境保持工程应进行全面规划、综合治理，与田块、沟渠道路等工程相结合，与农村居民点景观建设相协调。</w:t>
      </w:r>
      <w:r w:rsidRPr="008F1B68">
        <w:t xml:space="preserve"> </w:t>
      </w:r>
    </w:p>
    <w:p w:rsidR="007F5F66" w:rsidRPr="008F1B68" w:rsidRDefault="008F1B68">
      <w:pPr>
        <w:pStyle w:val="C"/>
        <w:spacing w:before="312" w:after="312"/>
        <w:rPr>
          <w:color w:val="000000"/>
        </w:rPr>
      </w:pPr>
      <w:bookmarkStart w:id="53" w:name="_Toc96439430"/>
      <w:bookmarkStart w:id="54" w:name="_Toc93749854"/>
      <w:r w:rsidRPr="008F1B68">
        <w:rPr>
          <w:rFonts w:hint="eastAsia"/>
          <w:color w:val="000000"/>
        </w:rPr>
        <w:t>（七）农田输配电</w:t>
      </w:r>
      <w:bookmarkEnd w:id="53"/>
      <w:bookmarkEnd w:id="54"/>
      <w:r w:rsidRPr="008F1B68">
        <w:rPr>
          <w:color w:val="000000"/>
        </w:rPr>
        <w:t xml:space="preserve"> </w:t>
      </w:r>
    </w:p>
    <w:p w:rsidR="007F5F66" w:rsidRPr="008F1B68" w:rsidRDefault="008F1B68">
      <w:pPr>
        <w:pStyle w:val="E"/>
        <w:spacing w:before="156" w:after="156"/>
        <w:ind w:firstLine="560"/>
      </w:pPr>
      <w:r w:rsidRPr="008F1B68">
        <w:lastRenderedPageBreak/>
        <w:t>1.</w:t>
      </w:r>
      <w:r w:rsidRPr="008F1B68">
        <w:rPr>
          <w:rFonts w:hint="eastAsia"/>
        </w:rPr>
        <w:t>建设内容。结合灌排、道路工程，配套建设农用高低压线路和变配电设施，满足泵站、机井、信息化及田间农业生产等用电需求。</w:t>
      </w:r>
      <w:r w:rsidRPr="008F1B68">
        <w:t xml:space="preserve"> </w:t>
      </w:r>
    </w:p>
    <w:p w:rsidR="007F5F66" w:rsidRPr="008F1B68" w:rsidRDefault="008F1B68">
      <w:pPr>
        <w:pStyle w:val="E"/>
        <w:spacing w:before="156" w:after="156"/>
        <w:ind w:firstLine="560"/>
      </w:pPr>
      <w:r w:rsidRPr="008F1B68">
        <w:t>2.</w:t>
      </w:r>
      <w:r w:rsidRPr="008F1B68">
        <w:rPr>
          <w:rFonts w:hint="eastAsia"/>
        </w:rPr>
        <w:t>建设标准。高标准农田输电线路、变压器及弱电等设施完善，电力系统安装与运行符合相关标准，用电质量和安全水平得到提高。</w:t>
      </w:r>
      <w:r w:rsidRPr="008F1B68">
        <w:t xml:space="preserve"> </w:t>
      </w:r>
    </w:p>
    <w:p w:rsidR="007F5F66" w:rsidRPr="008F1B68" w:rsidRDefault="008F1B68">
      <w:pPr>
        <w:pStyle w:val="C"/>
        <w:spacing w:before="312" w:after="312"/>
        <w:rPr>
          <w:color w:val="000000"/>
        </w:rPr>
      </w:pPr>
      <w:bookmarkStart w:id="55" w:name="_Toc93749855"/>
      <w:bookmarkStart w:id="56" w:name="_Toc96439431"/>
      <w:r w:rsidRPr="008F1B68">
        <w:rPr>
          <w:rFonts w:hint="eastAsia"/>
          <w:color w:val="000000"/>
        </w:rPr>
        <w:t>（八）管护利用</w:t>
      </w:r>
      <w:bookmarkEnd w:id="55"/>
      <w:bookmarkEnd w:id="56"/>
    </w:p>
    <w:p w:rsidR="007F5F66" w:rsidRPr="008F1B68" w:rsidRDefault="008F1B68">
      <w:pPr>
        <w:pStyle w:val="E"/>
        <w:spacing w:before="156" w:after="156"/>
        <w:ind w:firstLine="560"/>
      </w:pPr>
      <w:r w:rsidRPr="008F1B68">
        <w:t>1.</w:t>
      </w:r>
      <w:r w:rsidRPr="008F1B68">
        <w:rPr>
          <w:rFonts w:hint="eastAsia"/>
        </w:rPr>
        <w:t>建设内容。高标准农田建设项目验收通过后，项目法人应及时按有关规定办理资产交付手续。结合农村集体产权制度和农业水价综合改革，按照</w:t>
      </w:r>
      <w:r w:rsidRPr="008F1B68">
        <w:t>“</w:t>
      </w:r>
      <w:r w:rsidRPr="008F1B68">
        <w:rPr>
          <w:rFonts w:hint="eastAsia"/>
        </w:rPr>
        <w:t>谁受益谁管护、谁使用谁管护</w:t>
      </w:r>
      <w:r w:rsidRPr="008F1B68">
        <w:t>”</w:t>
      </w:r>
      <w:r w:rsidRPr="008F1B68">
        <w:rPr>
          <w:rFonts w:hint="eastAsia"/>
        </w:rPr>
        <w:t>的原则，建立健全高标准农田管护长效运行机制，明确工程管护主体，制定管护制度，落实管护责任。建立高标准农田工程管护经费分担机制，及时对因自然灾害、使用年限久导致损毁的工程设施开展修复。</w:t>
      </w:r>
      <w:r w:rsidRPr="008F1B68">
        <w:t xml:space="preserve"> </w:t>
      </w:r>
    </w:p>
    <w:p w:rsidR="007F5F66" w:rsidRPr="008F1B68" w:rsidRDefault="008F1B68">
      <w:pPr>
        <w:pStyle w:val="E"/>
        <w:spacing w:before="156" w:after="156"/>
        <w:ind w:firstLine="560"/>
      </w:pPr>
      <w:r w:rsidRPr="008F1B68">
        <w:t>2.</w:t>
      </w:r>
      <w:r w:rsidRPr="008F1B68">
        <w:rPr>
          <w:rFonts w:hint="eastAsia"/>
        </w:rPr>
        <w:t>建设标准。高标准农田管护主体和责任明确，管护资金到位，农田基础设施实现长久有效运行。</w:t>
      </w:r>
    </w:p>
    <w:p w:rsidR="007F5F66" w:rsidRPr="008F1B68" w:rsidRDefault="007F5F66">
      <w:pPr>
        <w:pStyle w:val="B"/>
        <w:spacing w:before="468" w:after="468"/>
        <w:rPr>
          <w:color w:val="000000"/>
        </w:rPr>
        <w:sectPr w:rsidR="007F5F66" w:rsidRPr="008F1B68">
          <w:pgSz w:w="11906" w:h="16838"/>
          <w:pgMar w:top="1440" w:right="1800" w:bottom="1440" w:left="1800" w:header="851" w:footer="992" w:gutter="0"/>
          <w:pgNumType w:fmt="numberInDash"/>
          <w:cols w:space="425"/>
          <w:docGrid w:type="lines" w:linePitch="312"/>
        </w:sectPr>
      </w:pPr>
    </w:p>
    <w:p w:rsidR="007F5F66" w:rsidRDefault="008F1B68">
      <w:pPr>
        <w:pStyle w:val="B"/>
        <w:spacing w:before="468" w:after="468"/>
      </w:pPr>
      <w:bookmarkStart w:id="57" w:name="_Toc96439432"/>
      <w:r>
        <w:rPr>
          <w:rFonts w:hint="eastAsia"/>
        </w:rPr>
        <w:lastRenderedPageBreak/>
        <w:t>五、项目规划</w:t>
      </w:r>
      <w:bookmarkEnd w:id="57"/>
    </w:p>
    <w:p w:rsidR="007F5F66" w:rsidRDefault="008F1B68">
      <w:pPr>
        <w:pStyle w:val="C"/>
        <w:spacing w:before="312" w:after="312"/>
      </w:pPr>
      <w:bookmarkStart w:id="58" w:name="_Toc87740075"/>
      <w:bookmarkStart w:id="59" w:name="_Toc87806296"/>
      <w:bookmarkStart w:id="60" w:name="_Toc96439433"/>
      <w:bookmarkStart w:id="61" w:name="_Toc344333145"/>
      <w:r>
        <w:rPr>
          <w:rFonts w:hint="eastAsia"/>
        </w:rPr>
        <w:t>（一）</w:t>
      </w:r>
      <w:bookmarkEnd w:id="58"/>
      <w:bookmarkEnd w:id="59"/>
      <w:r>
        <w:rPr>
          <w:rFonts w:hint="eastAsia"/>
        </w:rPr>
        <w:t>新建项目安排</w:t>
      </w:r>
      <w:bookmarkEnd w:id="60"/>
    </w:p>
    <w:p w:rsidR="007F5F66" w:rsidRDefault="008F1B68">
      <w:pPr>
        <w:pStyle w:val="E"/>
        <w:spacing w:before="156" w:after="156"/>
        <w:ind w:firstLine="560"/>
      </w:pPr>
      <w:bookmarkStart w:id="62" w:name="_Toc85364181"/>
      <w:bookmarkEnd w:id="61"/>
      <w:r>
        <w:rPr>
          <w:rFonts w:hint="eastAsia"/>
        </w:rPr>
        <w:t>“十四五”时期，嵊州市新建高标准农田实施年度集中于</w:t>
      </w:r>
      <w:r>
        <w:rPr>
          <w:rFonts w:hint="eastAsia"/>
        </w:rPr>
        <w:t>2021</w:t>
      </w:r>
      <w:r>
        <w:rPr>
          <w:rFonts w:hint="eastAsia"/>
        </w:rPr>
        <w:t>年，规划建设项目</w:t>
      </w:r>
      <w:r>
        <w:rPr>
          <w:rFonts w:hint="eastAsia"/>
        </w:rPr>
        <w:t>10</w:t>
      </w:r>
      <w:r>
        <w:rPr>
          <w:rFonts w:hint="eastAsia"/>
        </w:rPr>
        <w:t>个，建设规模</w:t>
      </w:r>
      <w:r>
        <w:rPr>
          <w:rFonts w:hint="eastAsia"/>
        </w:rPr>
        <w:t>2.41</w:t>
      </w:r>
      <w:r>
        <w:rPr>
          <w:rFonts w:hint="eastAsia"/>
        </w:rPr>
        <w:t>万亩，其中新增高效节水灌溉工程面积</w:t>
      </w:r>
      <w:r>
        <w:rPr>
          <w:rFonts w:hint="eastAsia"/>
        </w:rPr>
        <w:t>0.55</w:t>
      </w:r>
      <w:r>
        <w:rPr>
          <w:rFonts w:hint="eastAsia"/>
        </w:rPr>
        <w:t>万亩，投资估算</w:t>
      </w:r>
      <w:r>
        <w:rPr>
          <w:rFonts w:hint="eastAsia"/>
        </w:rPr>
        <w:t>5490.6</w:t>
      </w:r>
      <w:r>
        <w:rPr>
          <w:rFonts w:hint="eastAsia"/>
        </w:rPr>
        <w:t>万元。</w:t>
      </w:r>
    </w:p>
    <w:p w:rsidR="007F5F66" w:rsidRDefault="008F1B68">
      <w:pPr>
        <w:pStyle w:val="F2"/>
        <w:spacing w:before="156" w:after="156"/>
        <w:ind w:left="400"/>
      </w:pPr>
      <w:bookmarkStart w:id="63" w:name="_Toc89021789"/>
      <w:bookmarkStart w:id="64" w:name="_Toc96791010"/>
      <w:r>
        <w:rPr>
          <w:rFonts w:hint="eastAsia"/>
        </w:rPr>
        <w:t>表</w:t>
      </w:r>
      <w:r>
        <w:rPr>
          <w:rFonts w:hint="eastAsia"/>
        </w:rPr>
        <w:t>5-1</w:t>
      </w:r>
      <w:r>
        <w:rPr>
          <w:rFonts w:hint="eastAsia"/>
        </w:rPr>
        <w:t>嵊州市</w:t>
      </w:r>
      <w:r>
        <w:rPr>
          <w:rFonts w:hint="eastAsia"/>
        </w:rPr>
        <w:t>2021</w:t>
      </w:r>
      <w:r>
        <w:rPr>
          <w:rFonts w:hint="eastAsia"/>
        </w:rPr>
        <w:t>年高标准农田建设项目</w:t>
      </w:r>
      <w:bookmarkEnd w:id="63"/>
      <w:bookmarkEnd w:id="64"/>
    </w:p>
    <w:p w:rsidR="007F5F66" w:rsidRDefault="008F1B68">
      <w:pPr>
        <w:pStyle w:val="E"/>
        <w:spacing w:beforeLines="0" w:afterLines="0" w:line="240" w:lineRule="exact"/>
        <w:ind w:firstLine="440"/>
        <w:jc w:val="right"/>
        <w:rPr>
          <w:rFonts w:ascii="仿宋" w:hAnsi="仿宋"/>
          <w:sz w:val="22"/>
          <w:szCs w:val="22"/>
        </w:rPr>
      </w:pPr>
      <w:r>
        <w:rPr>
          <w:rFonts w:ascii="仿宋" w:hAnsi="仿宋" w:hint="eastAsia"/>
          <w:sz w:val="22"/>
          <w:szCs w:val="22"/>
        </w:rPr>
        <w:t>单位：亩、万元</w:t>
      </w:r>
    </w:p>
    <w:tbl>
      <w:tblPr>
        <w:tblW w:w="5000" w:type="pct"/>
        <w:tblLook w:val="04A0" w:firstRow="1" w:lastRow="0" w:firstColumn="1" w:lastColumn="0" w:noHBand="0" w:noVBand="1"/>
      </w:tblPr>
      <w:tblGrid>
        <w:gridCol w:w="478"/>
        <w:gridCol w:w="908"/>
        <w:gridCol w:w="1074"/>
        <w:gridCol w:w="766"/>
        <w:gridCol w:w="876"/>
        <w:gridCol w:w="3467"/>
        <w:gridCol w:w="953"/>
      </w:tblGrid>
      <w:tr w:rsidR="007F5F66">
        <w:trPr>
          <w:trHeight w:val="501"/>
          <w:tblHead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序号</w:t>
            </w:r>
          </w:p>
        </w:tc>
        <w:tc>
          <w:tcPr>
            <w:tcW w:w="533"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项目名称</w:t>
            </w:r>
          </w:p>
        </w:tc>
        <w:tc>
          <w:tcPr>
            <w:tcW w:w="630"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所在乡镇</w:t>
            </w:r>
          </w:p>
        </w:tc>
        <w:tc>
          <w:tcPr>
            <w:tcW w:w="449"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项目规模</w:t>
            </w:r>
          </w:p>
        </w:tc>
        <w:tc>
          <w:tcPr>
            <w:tcW w:w="514"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其中：高效节水灌溉工程</w:t>
            </w:r>
          </w:p>
        </w:tc>
        <w:tc>
          <w:tcPr>
            <w:tcW w:w="2034"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主要建设内容</w:t>
            </w:r>
          </w:p>
        </w:tc>
        <w:tc>
          <w:tcPr>
            <w:tcW w:w="559"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投资估算</w:t>
            </w:r>
          </w:p>
        </w:tc>
      </w:tr>
      <w:tr w:rsidR="007F5F66">
        <w:trPr>
          <w:trHeight w:val="1200"/>
        </w:trPr>
        <w:tc>
          <w:tcPr>
            <w:tcW w:w="280"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w:t>
            </w:r>
          </w:p>
        </w:tc>
        <w:tc>
          <w:tcPr>
            <w:tcW w:w="533"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2021年嵊州市崇仁镇西片高标准农田建设项目</w:t>
            </w:r>
          </w:p>
        </w:tc>
        <w:tc>
          <w:tcPr>
            <w:tcW w:w="630"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崇仁镇温泉湖村、广明塘村、逵溪湾村和广利村</w:t>
            </w:r>
          </w:p>
        </w:tc>
        <w:tc>
          <w:tcPr>
            <w:tcW w:w="44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3663</w:t>
            </w:r>
          </w:p>
        </w:tc>
        <w:tc>
          <w:tcPr>
            <w:tcW w:w="51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1458</w:t>
            </w:r>
          </w:p>
        </w:tc>
        <w:tc>
          <w:tcPr>
            <w:tcW w:w="2034"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地力培肥75.1亩，新建灌渠15条，共计6.7699km；新建排渠6条，共计1.7829km；修复一处护岸挡墙0.0621km，新建机耕路21条，共计7.6444km；新建二座泵站，修建一座泵站一座堰坝；新建渠系建筑物391处，农桥4座，涵管铺设0.295km，管灌埋管0.185km。</w:t>
            </w:r>
          </w:p>
        </w:tc>
        <w:tc>
          <w:tcPr>
            <w:tcW w:w="55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845.0</w:t>
            </w:r>
          </w:p>
        </w:tc>
      </w:tr>
      <w:tr w:rsidR="007F5F66">
        <w:trPr>
          <w:trHeight w:val="1200"/>
        </w:trPr>
        <w:tc>
          <w:tcPr>
            <w:tcW w:w="280"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w:t>
            </w:r>
          </w:p>
        </w:tc>
        <w:tc>
          <w:tcPr>
            <w:tcW w:w="533"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2021年嵊州市崇仁镇东片高标准农田建设项目</w:t>
            </w:r>
          </w:p>
        </w:tc>
        <w:tc>
          <w:tcPr>
            <w:tcW w:w="630"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崇仁镇前村、富金村、安江村、支滨村、永富村、溪滩村、镇南村、杏花村、崇仁九十村</w:t>
            </w:r>
          </w:p>
        </w:tc>
        <w:tc>
          <w:tcPr>
            <w:tcW w:w="44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3770</w:t>
            </w:r>
          </w:p>
        </w:tc>
        <w:tc>
          <w:tcPr>
            <w:tcW w:w="51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416</w:t>
            </w:r>
          </w:p>
        </w:tc>
        <w:tc>
          <w:tcPr>
            <w:tcW w:w="2034"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新建灌渠10条，计2.899km；改建灌渠1条，计0.145km；新建排渠3条，计1.018km；改建排渠14条，计6.39km；新建管灌2条长1.601km，节水灌溉416亩；铺设涵管共0.48km；地力培肥86亩；新建机耕路20条，计9.191km；配套渠系建筑物211处。</w:t>
            </w:r>
          </w:p>
        </w:tc>
        <w:tc>
          <w:tcPr>
            <w:tcW w:w="55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886.5</w:t>
            </w:r>
          </w:p>
        </w:tc>
      </w:tr>
      <w:tr w:rsidR="007F5F66">
        <w:trPr>
          <w:trHeight w:val="292"/>
        </w:trPr>
        <w:tc>
          <w:tcPr>
            <w:tcW w:w="280"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w:t>
            </w:r>
          </w:p>
        </w:tc>
        <w:tc>
          <w:tcPr>
            <w:tcW w:w="533"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2021年嵊州市黄泽镇高标准农田建</w:t>
            </w:r>
            <w:r>
              <w:rPr>
                <w:rFonts w:ascii="仿宋" w:eastAsia="仿宋" w:hAnsi="仿宋" w:cs="宋体" w:hint="eastAsia"/>
                <w:color w:val="000000"/>
                <w:sz w:val="22"/>
              </w:rPr>
              <w:lastRenderedPageBreak/>
              <w:t>设项目</w:t>
            </w:r>
          </w:p>
        </w:tc>
        <w:tc>
          <w:tcPr>
            <w:tcW w:w="630"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lastRenderedPageBreak/>
              <w:t>黄泽镇溪北村</w:t>
            </w:r>
          </w:p>
        </w:tc>
        <w:tc>
          <w:tcPr>
            <w:tcW w:w="44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3248</w:t>
            </w:r>
          </w:p>
        </w:tc>
        <w:tc>
          <w:tcPr>
            <w:tcW w:w="51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793</w:t>
            </w:r>
          </w:p>
        </w:tc>
        <w:tc>
          <w:tcPr>
            <w:tcW w:w="2034"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新建灌渠9条共3.176km；新建排渠7条共2.656km；新建管灌1条长0.983km（节水灌溉793亩）；铺设涵管共0.48km；地力培肥96亩；新建机耕路15条共5.694km，新建</w:t>
            </w:r>
            <w:r>
              <w:rPr>
                <w:rFonts w:ascii="仿宋" w:eastAsia="仿宋" w:hAnsi="仿宋" w:cs="宋体" w:hint="eastAsia"/>
                <w:color w:val="000000"/>
                <w:sz w:val="22"/>
              </w:rPr>
              <w:lastRenderedPageBreak/>
              <w:t>田间道路1条共0.171km；配套渠系建筑物389处。</w:t>
            </w:r>
          </w:p>
        </w:tc>
        <w:tc>
          <w:tcPr>
            <w:tcW w:w="55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lastRenderedPageBreak/>
              <w:t>773.8</w:t>
            </w:r>
          </w:p>
        </w:tc>
      </w:tr>
      <w:tr w:rsidR="007F5F66">
        <w:trPr>
          <w:trHeight w:val="960"/>
        </w:trPr>
        <w:tc>
          <w:tcPr>
            <w:tcW w:w="280"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4</w:t>
            </w:r>
          </w:p>
        </w:tc>
        <w:tc>
          <w:tcPr>
            <w:tcW w:w="533"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2021年嵊州市金庭镇小柏村高标准农田建设项目</w:t>
            </w:r>
          </w:p>
        </w:tc>
        <w:tc>
          <w:tcPr>
            <w:tcW w:w="630"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金庭镇小柏村</w:t>
            </w:r>
          </w:p>
        </w:tc>
        <w:tc>
          <w:tcPr>
            <w:tcW w:w="44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2224</w:t>
            </w:r>
          </w:p>
        </w:tc>
        <w:tc>
          <w:tcPr>
            <w:tcW w:w="51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393</w:t>
            </w:r>
          </w:p>
        </w:tc>
        <w:tc>
          <w:tcPr>
            <w:tcW w:w="2034"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新建修建灌排渠道15条，总长5.176km；新建渠系建筑物298处；高效节水灌溉工程面积393亩,铺设高效节水灌溉PE管道4.455km；新建修建机耕路11条，总长5.659km，新建硬化道路2条，长0.797km；土壤改良地力培肥211.2亩。</w:t>
            </w:r>
          </w:p>
        </w:tc>
        <w:tc>
          <w:tcPr>
            <w:tcW w:w="55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445.5</w:t>
            </w:r>
          </w:p>
        </w:tc>
      </w:tr>
      <w:tr w:rsidR="007F5F66">
        <w:trPr>
          <w:trHeight w:val="960"/>
        </w:trPr>
        <w:tc>
          <w:tcPr>
            <w:tcW w:w="280"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5</w:t>
            </w:r>
          </w:p>
        </w:tc>
        <w:tc>
          <w:tcPr>
            <w:tcW w:w="533"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2021年嵊州市金庭镇晋溪村高标准农田建设项目</w:t>
            </w:r>
          </w:p>
        </w:tc>
        <w:tc>
          <w:tcPr>
            <w:tcW w:w="630"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金庭镇晋溪村</w:t>
            </w:r>
          </w:p>
        </w:tc>
        <w:tc>
          <w:tcPr>
            <w:tcW w:w="44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1135</w:t>
            </w:r>
          </w:p>
        </w:tc>
        <w:tc>
          <w:tcPr>
            <w:tcW w:w="51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363.5</w:t>
            </w:r>
          </w:p>
        </w:tc>
        <w:tc>
          <w:tcPr>
            <w:tcW w:w="2034"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新建修建灌排渠道9条，总长2.308km；新建渠系建筑物155处；高效节水灌溉工程面积363.5亩,铺设高效节水灌溉PE管道2.575km；新建修建机耕路8条，总长2.166km，新建田间道路1条，长0.140km；土壤改良地力培肥143.20亩。</w:t>
            </w:r>
          </w:p>
        </w:tc>
        <w:tc>
          <w:tcPr>
            <w:tcW w:w="55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240.6</w:t>
            </w:r>
          </w:p>
        </w:tc>
      </w:tr>
      <w:tr w:rsidR="007F5F66">
        <w:trPr>
          <w:trHeight w:val="960"/>
        </w:trPr>
        <w:tc>
          <w:tcPr>
            <w:tcW w:w="280"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6</w:t>
            </w:r>
          </w:p>
        </w:tc>
        <w:tc>
          <w:tcPr>
            <w:tcW w:w="533"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2021年嵊州市鹿山街道高标准农田建设项目</w:t>
            </w:r>
          </w:p>
        </w:tc>
        <w:tc>
          <w:tcPr>
            <w:tcW w:w="630"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鹿山街道江燕村</w:t>
            </w:r>
          </w:p>
        </w:tc>
        <w:tc>
          <w:tcPr>
            <w:tcW w:w="44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1968</w:t>
            </w:r>
          </w:p>
        </w:tc>
        <w:tc>
          <w:tcPr>
            <w:tcW w:w="51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445</w:t>
            </w:r>
          </w:p>
        </w:tc>
        <w:tc>
          <w:tcPr>
            <w:tcW w:w="2034"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新建排渠道5条，总长1.923km。清淤渠道共8条，长2.747km。建设高效节水灌溉面积445亩，铺设高效节水灌溉PE管道3.91km。新建渠系建筑物118处。总建设机耕路12条，总长3.761km。土壤改良面积约403亩。</w:t>
            </w:r>
          </w:p>
        </w:tc>
        <w:tc>
          <w:tcPr>
            <w:tcW w:w="55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431.4</w:t>
            </w:r>
          </w:p>
        </w:tc>
      </w:tr>
      <w:tr w:rsidR="007F5F66">
        <w:trPr>
          <w:trHeight w:val="960"/>
        </w:trPr>
        <w:tc>
          <w:tcPr>
            <w:tcW w:w="280"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7</w:t>
            </w:r>
          </w:p>
        </w:tc>
        <w:tc>
          <w:tcPr>
            <w:tcW w:w="533"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2021年嵊州市浦口街道高标准农田建设项目</w:t>
            </w:r>
          </w:p>
        </w:tc>
        <w:tc>
          <w:tcPr>
            <w:tcW w:w="630"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浦口街道花园村、三塘村</w:t>
            </w:r>
          </w:p>
        </w:tc>
        <w:tc>
          <w:tcPr>
            <w:tcW w:w="44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2291</w:t>
            </w:r>
          </w:p>
        </w:tc>
        <w:tc>
          <w:tcPr>
            <w:tcW w:w="51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515</w:t>
            </w:r>
          </w:p>
        </w:tc>
        <w:tc>
          <w:tcPr>
            <w:tcW w:w="2034"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土壤改良85亩,新建灌渠8条共2.0km；新建排渠16条共3.192km；铺设涵管共0.13km；新建节水灌溉515.5亩，铺设管道3.374km,新建机耕路11条，共计2.1km，新建生产路1条，长0.105km；配套渠系建筑物70处。</w:t>
            </w:r>
          </w:p>
        </w:tc>
        <w:tc>
          <w:tcPr>
            <w:tcW w:w="55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489.0</w:t>
            </w:r>
          </w:p>
        </w:tc>
      </w:tr>
      <w:tr w:rsidR="007F5F66">
        <w:trPr>
          <w:trHeight w:val="292"/>
        </w:trPr>
        <w:tc>
          <w:tcPr>
            <w:tcW w:w="280"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8</w:t>
            </w:r>
          </w:p>
        </w:tc>
        <w:tc>
          <w:tcPr>
            <w:tcW w:w="533"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2021年嵊州市石璜镇高标准农田建设项目</w:t>
            </w:r>
          </w:p>
        </w:tc>
        <w:tc>
          <w:tcPr>
            <w:tcW w:w="630"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石璜镇白雁坑村、西白山村、通源村、松明培村</w:t>
            </w:r>
          </w:p>
        </w:tc>
        <w:tc>
          <w:tcPr>
            <w:tcW w:w="44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2207</w:t>
            </w:r>
          </w:p>
        </w:tc>
        <w:tc>
          <w:tcPr>
            <w:tcW w:w="51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312</w:t>
            </w:r>
          </w:p>
        </w:tc>
        <w:tc>
          <w:tcPr>
            <w:tcW w:w="2034"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地力培肥85亩，新建灌渠11条，共计1.7278km；新建排渠11条，共计2.891km；修复护岸挡墙0.026km，新建田间道路15条，共计4.0662km，其中新建田间道路11条，长1.6993km，机耕路4条，共计2.3669km；新建渠系建筑物244处，涵管铺设0.35km，管灌埋</w:t>
            </w:r>
            <w:r>
              <w:rPr>
                <w:rFonts w:ascii="仿宋" w:eastAsia="仿宋" w:hAnsi="仿宋" w:cs="宋体" w:hint="eastAsia"/>
                <w:color w:val="000000"/>
                <w:sz w:val="22"/>
              </w:rPr>
              <w:lastRenderedPageBreak/>
              <w:t>管0.390km。</w:t>
            </w:r>
          </w:p>
        </w:tc>
        <w:tc>
          <w:tcPr>
            <w:tcW w:w="55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lastRenderedPageBreak/>
              <w:t>487.7</w:t>
            </w:r>
          </w:p>
        </w:tc>
      </w:tr>
      <w:tr w:rsidR="007F5F66">
        <w:trPr>
          <w:trHeight w:val="480"/>
        </w:trPr>
        <w:tc>
          <w:tcPr>
            <w:tcW w:w="280"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9</w:t>
            </w:r>
          </w:p>
        </w:tc>
        <w:tc>
          <w:tcPr>
            <w:tcW w:w="533"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2021年嵊州市下王镇高标准农田建设项目</w:t>
            </w:r>
          </w:p>
        </w:tc>
        <w:tc>
          <w:tcPr>
            <w:tcW w:w="630"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下王镇下王村</w:t>
            </w:r>
          </w:p>
        </w:tc>
        <w:tc>
          <w:tcPr>
            <w:tcW w:w="44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1394</w:t>
            </w:r>
          </w:p>
        </w:tc>
        <w:tc>
          <w:tcPr>
            <w:tcW w:w="51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314</w:t>
            </w:r>
          </w:p>
        </w:tc>
        <w:tc>
          <w:tcPr>
            <w:tcW w:w="2034"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新建灌排渠4条共1.02km；铺设涵管共3.05km；新建渠系建筑物108处；地力培肥150.0亩；新建机耕路11条共2.939km。</w:t>
            </w:r>
          </w:p>
        </w:tc>
        <w:tc>
          <w:tcPr>
            <w:tcW w:w="55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358.6</w:t>
            </w:r>
          </w:p>
        </w:tc>
      </w:tr>
      <w:tr w:rsidR="007F5F66">
        <w:trPr>
          <w:trHeight w:val="960"/>
        </w:trPr>
        <w:tc>
          <w:tcPr>
            <w:tcW w:w="280" w:type="pct"/>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10</w:t>
            </w:r>
          </w:p>
        </w:tc>
        <w:tc>
          <w:tcPr>
            <w:tcW w:w="533"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2021年嵊州市仙岩镇西片高标准农田建设项目</w:t>
            </w:r>
          </w:p>
        </w:tc>
        <w:tc>
          <w:tcPr>
            <w:tcW w:w="630"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仙岩镇仙岩村、岩头村、舜皇村</w:t>
            </w:r>
          </w:p>
        </w:tc>
        <w:tc>
          <w:tcPr>
            <w:tcW w:w="44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2204</w:t>
            </w:r>
          </w:p>
        </w:tc>
        <w:tc>
          <w:tcPr>
            <w:tcW w:w="514"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515</w:t>
            </w:r>
          </w:p>
        </w:tc>
        <w:tc>
          <w:tcPr>
            <w:tcW w:w="2034" w:type="pct"/>
            <w:tcBorders>
              <w:top w:val="nil"/>
              <w:left w:val="nil"/>
              <w:bottom w:val="single" w:sz="4" w:space="0" w:color="auto"/>
              <w:right w:val="single" w:sz="4" w:space="0" w:color="auto"/>
            </w:tcBorders>
            <w:shd w:val="clear" w:color="auto" w:fill="auto"/>
            <w:vAlign w:val="center"/>
          </w:tcPr>
          <w:p w:rsidR="007F5F66" w:rsidRDefault="008F1B68">
            <w:pPr>
              <w:widowControl/>
              <w:jc w:val="left"/>
              <w:rPr>
                <w:rFonts w:ascii="仿宋" w:eastAsia="仿宋" w:hAnsi="仿宋" w:cs="宋体"/>
                <w:color w:val="000000"/>
                <w:sz w:val="22"/>
              </w:rPr>
            </w:pPr>
            <w:r>
              <w:rPr>
                <w:rFonts w:ascii="仿宋" w:eastAsia="仿宋" w:hAnsi="仿宋" w:cs="宋体" w:hint="eastAsia"/>
                <w:color w:val="000000"/>
                <w:sz w:val="22"/>
              </w:rPr>
              <w:t>土壤改良284.6亩，新建修建灌排渠道16条，总长3.423km，新建渠系建筑物354处；建设高效节水灌溉面积524.8亩,铺设PE管道9.674km；新建机耕路6条，总长3.1595km。硬化道路10条，总长3.028km。</w:t>
            </w:r>
          </w:p>
        </w:tc>
        <w:tc>
          <w:tcPr>
            <w:tcW w:w="559"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532.4</w:t>
            </w:r>
          </w:p>
        </w:tc>
      </w:tr>
      <w:tr w:rsidR="007F5F66">
        <w:trPr>
          <w:trHeight w:val="288"/>
        </w:trPr>
        <w:tc>
          <w:tcPr>
            <w:tcW w:w="1443" w:type="pct"/>
            <w:gridSpan w:val="3"/>
            <w:tcBorders>
              <w:top w:val="nil"/>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合计</w:t>
            </w:r>
          </w:p>
        </w:tc>
        <w:tc>
          <w:tcPr>
            <w:tcW w:w="449"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24105</w:t>
            </w:r>
          </w:p>
        </w:tc>
        <w:tc>
          <w:tcPr>
            <w:tcW w:w="514"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5524.5</w:t>
            </w:r>
          </w:p>
        </w:tc>
        <w:tc>
          <w:tcPr>
            <w:tcW w:w="2034"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 xml:space="preserve">　</w:t>
            </w:r>
          </w:p>
        </w:tc>
        <w:tc>
          <w:tcPr>
            <w:tcW w:w="559" w:type="pct"/>
            <w:tcBorders>
              <w:top w:val="nil"/>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5490.6</w:t>
            </w:r>
          </w:p>
        </w:tc>
      </w:tr>
    </w:tbl>
    <w:p w:rsidR="007F5F66" w:rsidRDefault="007F5F66">
      <w:pPr>
        <w:pStyle w:val="E"/>
        <w:spacing w:beforeLines="0" w:afterLines="0" w:line="240" w:lineRule="exact"/>
        <w:ind w:firstLine="420"/>
        <w:jc w:val="right"/>
        <w:rPr>
          <w:sz w:val="21"/>
        </w:rPr>
      </w:pPr>
    </w:p>
    <w:p w:rsidR="007F5F66" w:rsidRDefault="008F1B68">
      <w:pPr>
        <w:pStyle w:val="C"/>
        <w:spacing w:before="312" w:after="312"/>
      </w:pPr>
      <w:bookmarkStart w:id="65" w:name="_Toc96439434"/>
      <w:bookmarkEnd w:id="62"/>
      <w:r>
        <w:rPr>
          <w:rFonts w:hint="eastAsia"/>
        </w:rPr>
        <w:t>（二）改造提升项目安排</w:t>
      </w:r>
      <w:bookmarkEnd w:id="65"/>
    </w:p>
    <w:p w:rsidR="007F5F66" w:rsidRDefault="008F1B68">
      <w:pPr>
        <w:pStyle w:val="E"/>
        <w:spacing w:before="156" w:after="156"/>
        <w:ind w:firstLine="560"/>
      </w:pPr>
      <w:bookmarkStart w:id="66" w:name="_Toc85385423"/>
      <w:r>
        <w:rPr>
          <w:rFonts w:hint="eastAsia"/>
        </w:rPr>
        <w:t>“十四五”时期，嵊州市规划改造提升项目</w:t>
      </w:r>
      <w:r>
        <w:rPr>
          <w:rFonts w:hint="eastAsia"/>
        </w:rPr>
        <w:t>17</w:t>
      </w:r>
      <w:r>
        <w:rPr>
          <w:rFonts w:hint="eastAsia"/>
        </w:rPr>
        <w:t>个，项目规模</w:t>
      </w:r>
      <w:r>
        <w:rPr>
          <w:rFonts w:hint="eastAsia"/>
        </w:rPr>
        <w:t>4.87</w:t>
      </w:r>
      <w:r>
        <w:rPr>
          <w:rFonts w:hint="eastAsia"/>
        </w:rPr>
        <w:t>万亩，投资估算</w:t>
      </w:r>
      <w:r>
        <w:rPr>
          <w:rFonts w:hint="eastAsia"/>
        </w:rPr>
        <w:t>11994.0</w:t>
      </w:r>
      <w:r>
        <w:rPr>
          <w:rFonts w:hint="eastAsia"/>
        </w:rPr>
        <w:t>万元，主要建设内容为土壤改良、地力培肥、新建或修复灌排渠道、新建机耕路或田间道路等。其中</w:t>
      </w:r>
      <w:r>
        <w:rPr>
          <w:rFonts w:hint="eastAsia"/>
        </w:rPr>
        <w:t>2021</w:t>
      </w:r>
      <w:r>
        <w:rPr>
          <w:rFonts w:hint="eastAsia"/>
        </w:rPr>
        <w:t>年规划改造提升项目</w:t>
      </w:r>
      <w:r>
        <w:rPr>
          <w:rFonts w:hint="eastAsia"/>
        </w:rPr>
        <w:t>4</w:t>
      </w:r>
      <w:r>
        <w:rPr>
          <w:rFonts w:hint="eastAsia"/>
        </w:rPr>
        <w:t>个，项目规模</w:t>
      </w:r>
      <w:r>
        <w:rPr>
          <w:rFonts w:hint="eastAsia"/>
        </w:rPr>
        <w:t>0.74</w:t>
      </w:r>
      <w:r>
        <w:rPr>
          <w:rFonts w:hint="eastAsia"/>
        </w:rPr>
        <w:t>万亩，投资估算</w:t>
      </w:r>
      <w:r>
        <w:rPr>
          <w:rFonts w:hint="eastAsia"/>
        </w:rPr>
        <w:t>1658.5</w:t>
      </w:r>
      <w:r>
        <w:rPr>
          <w:rFonts w:hint="eastAsia"/>
        </w:rPr>
        <w:t>万元；</w:t>
      </w:r>
      <w:r>
        <w:rPr>
          <w:rFonts w:hint="eastAsia"/>
        </w:rPr>
        <w:t>2023</w:t>
      </w:r>
      <w:r>
        <w:rPr>
          <w:rFonts w:hint="eastAsia"/>
        </w:rPr>
        <w:t>年规划改造提升项目</w:t>
      </w:r>
      <w:r>
        <w:rPr>
          <w:rFonts w:hint="eastAsia"/>
        </w:rPr>
        <w:t>5</w:t>
      </w:r>
      <w:r>
        <w:rPr>
          <w:rFonts w:hint="eastAsia"/>
        </w:rPr>
        <w:t>个，项目规模</w:t>
      </w:r>
      <w:r>
        <w:rPr>
          <w:rFonts w:hint="eastAsia"/>
        </w:rPr>
        <w:t>1.60</w:t>
      </w:r>
      <w:r>
        <w:rPr>
          <w:rFonts w:hint="eastAsia"/>
        </w:rPr>
        <w:t>万亩，投资估算</w:t>
      </w:r>
      <w:r>
        <w:rPr>
          <w:rFonts w:hint="eastAsia"/>
        </w:rPr>
        <w:t>4000</w:t>
      </w:r>
      <w:r>
        <w:rPr>
          <w:rFonts w:hint="eastAsia"/>
        </w:rPr>
        <w:t>万元；</w:t>
      </w:r>
      <w:r>
        <w:rPr>
          <w:rFonts w:hint="eastAsia"/>
        </w:rPr>
        <w:t>2024</w:t>
      </w:r>
      <w:r>
        <w:rPr>
          <w:rFonts w:hint="eastAsia"/>
        </w:rPr>
        <w:t>年规划改造提升项目</w:t>
      </w:r>
      <w:r>
        <w:rPr>
          <w:rFonts w:hint="eastAsia"/>
        </w:rPr>
        <w:t>4</w:t>
      </w:r>
      <w:r>
        <w:rPr>
          <w:rFonts w:hint="eastAsia"/>
        </w:rPr>
        <w:t>个，项目规模</w:t>
      </w:r>
      <w:r>
        <w:rPr>
          <w:rFonts w:hint="eastAsia"/>
        </w:rPr>
        <w:t>1.35</w:t>
      </w:r>
      <w:r>
        <w:rPr>
          <w:rFonts w:hint="eastAsia"/>
        </w:rPr>
        <w:t>万亩，投资估算</w:t>
      </w:r>
      <w:r>
        <w:rPr>
          <w:rFonts w:hint="eastAsia"/>
        </w:rPr>
        <w:t>3375</w:t>
      </w:r>
      <w:r>
        <w:rPr>
          <w:rFonts w:hint="eastAsia"/>
        </w:rPr>
        <w:t>万元；</w:t>
      </w:r>
      <w:r>
        <w:rPr>
          <w:rFonts w:hint="eastAsia"/>
        </w:rPr>
        <w:t>2025</w:t>
      </w:r>
      <w:r>
        <w:rPr>
          <w:rFonts w:hint="eastAsia"/>
        </w:rPr>
        <w:t>年规划改造提升项目</w:t>
      </w:r>
      <w:r>
        <w:rPr>
          <w:rFonts w:hint="eastAsia"/>
        </w:rPr>
        <w:t>4</w:t>
      </w:r>
      <w:r>
        <w:rPr>
          <w:rFonts w:hint="eastAsia"/>
        </w:rPr>
        <w:t>个，项目规模</w:t>
      </w:r>
      <w:r>
        <w:rPr>
          <w:rFonts w:hint="eastAsia"/>
        </w:rPr>
        <w:t>1.18</w:t>
      </w:r>
      <w:r>
        <w:rPr>
          <w:rFonts w:hint="eastAsia"/>
        </w:rPr>
        <w:t>万亩，投资估算</w:t>
      </w:r>
      <w:r>
        <w:rPr>
          <w:rFonts w:hint="eastAsia"/>
        </w:rPr>
        <w:t>2960.5</w:t>
      </w:r>
      <w:r>
        <w:rPr>
          <w:rFonts w:hint="eastAsia"/>
        </w:rPr>
        <w:t>万元。</w:t>
      </w:r>
    </w:p>
    <w:p w:rsidR="007F5F66" w:rsidRDefault="007F5F66">
      <w:pPr>
        <w:pStyle w:val="E"/>
        <w:spacing w:before="156" w:after="156"/>
        <w:ind w:firstLine="560"/>
      </w:pPr>
    </w:p>
    <w:p w:rsidR="007F5F66" w:rsidRDefault="007F5F66">
      <w:pPr>
        <w:pStyle w:val="E"/>
        <w:spacing w:before="156" w:after="156"/>
        <w:ind w:firstLine="560"/>
      </w:pPr>
    </w:p>
    <w:p w:rsidR="007F5F66" w:rsidRDefault="008F1B68">
      <w:pPr>
        <w:pStyle w:val="F2"/>
        <w:spacing w:before="156" w:after="156"/>
        <w:ind w:left="400"/>
      </w:pPr>
      <w:bookmarkStart w:id="67" w:name="_Toc89021799"/>
      <w:bookmarkStart w:id="68" w:name="_Toc96791011"/>
      <w:r>
        <w:rPr>
          <w:rFonts w:hint="eastAsia"/>
        </w:rPr>
        <w:lastRenderedPageBreak/>
        <w:t>表</w:t>
      </w:r>
      <w:r>
        <w:rPr>
          <w:rFonts w:hint="eastAsia"/>
        </w:rPr>
        <w:t>5-2</w:t>
      </w:r>
      <w:r>
        <w:rPr>
          <w:rFonts w:hint="eastAsia"/>
        </w:rPr>
        <w:t>嵊州市</w:t>
      </w:r>
      <w:r>
        <w:rPr>
          <w:rFonts w:hint="eastAsia"/>
        </w:rPr>
        <w:t>2021</w:t>
      </w:r>
      <w:r>
        <w:rPr>
          <w:rFonts w:hint="eastAsia"/>
        </w:rPr>
        <w:t>～</w:t>
      </w:r>
      <w:r>
        <w:rPr>
          <w:rFonts w:hint="eastAsia"/>
        </w:rPr>
        <w:t>2025</w:t>
      </w:r>
      <w:r>
        <w:rPr>
          <w:rFonts w:hint="eastAsia"/>
        </w:rPr>
        <w:t>年高标准农田改造提升项目</w:t>
      </w:r>
      <w:bookmarkEnd w:id="67"/>
      <w:bookmarkEnd w:id="68"/>
    </w:p>
    <w:p w:rsidR="007F5F66" w:rsidRDefault="008F1B68">
      <w:pPr>
        <w:pStyle w:val="E"/>
        <w:spacing w:beforeLines="0" w:afterLines="0" w:line="240" w:lineRule="exact"/>
        <w:ind w:firstLine="440"/>
        <w:jc w:val="right"/>
        <w:rPr>
          <w:rFonts w:ascii="仿宋" w:hAnsi="仿宋"/>
          <w:sz w:val="22"/>
          <w:szCs w:val="22"/>
        </w:rPr>
      </w:pPr>
      <w:r>
        <w:rPr>
          <w:rFonts w:ascii="仿宋" w:hAnsi="仿宋" w:hint="eastAsia"/>
          <w:sz w:val="22"/>
          <w:szCs w:val="22"/>
        </w:rPr>
        <w:t>单位：亩、万元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256"/>
        <w:gridCol w:w="741"/>
        <w:gridCol w:w="3230"/>
        <w:gridCol w:w="1275"/>
        <w:gridCol w:w="1467"/>
      </w:tblGrid>
      <w:tr w:rsidR="008F1B68" w:rsidTr="008F1B68">
        <w:trPr>
          <w:trHeight w:val="261"/>
          <w:tblHeader/>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序号</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行政区</w:t>
            </w:r>
          </w:p>
        </w:tc>
        <w:tc>
          <w:tcPr>
            <w:tcW w:w="43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实施年度</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建设地点</w:t>
            </w:r>
          </w:p>
        </w:tc>
        <w:tc>
          <w:tcPr>
            <w:tcW w:w="748"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项目规模</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投资估算</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谷来镇</w:t>
            </w:r>
          </w:p>
        </w:tc>
        <w:tc>
          <w:tcPr>
            <w:tcW w:w="43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2021</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谷来一村、护国岭村</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1703</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389.7</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鹿山街道</w:t>
            </w:r>
          </w:p>
        </w:tc>
        <w:tc>
          <w:tcPr>
            <w:tcW w:w="43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2021</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白沙地村、新大洋村</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2033</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432.3</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石璜镇</w:t>
            </w:r>
          </w:p>
        </w:tc>
        <w:tc>
          <w:tcPr>
            <w:tcW w:w="43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2021</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溪西村</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1351</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317.3</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4</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石璜镇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2023</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雅宅村、白竹村、沈村、丁家村、夏相村</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3000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750</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5</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崇仁镇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2023</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逵溪村、东岭村、福安村</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4000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1000</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6</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崇仁镇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2024</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马仁村、范村村</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4000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1000</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甘霖镇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2023</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后史村等镇中区片</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3000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750</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8</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甘霖镇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2024</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马塘村等镇北区片</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3500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875</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9</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甘霖镇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2025</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上路西村等镇西区片</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3500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875</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10</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黄泽镇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2023</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新田村等镇南区片</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3000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750</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11</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黄泽镇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2025</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许宅村等镇中区片</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3000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750</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12</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三界镇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2023</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福源村等镇中区片</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3000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750</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13</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三界镇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2024</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车骑山等镇南区片</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3000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750</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14</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三界镇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2025</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沈湖村等镇北区片</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3000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750</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15</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长乐镇</w:t>
            </w:r>
          </w:p>
        </w:tc>
        <w:tc>
          <w:tcPr>
            <w:tcW w:w="43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2021</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开元村</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2271</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519.2</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16</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长乐镇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2024</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长乐六村</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3000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750</w:t>
            </w:r>
          </w:p>
        </w:tc>
      </w:tr>
      <w:tr w:rsidR="008F1B68" w:rsidTr="008F1B68">
        <w:trPr>
          <w:trHeight w:val="261"/>
        </w:trPr>
        <w:tc>
          <w:tcPr>
            <w:tcW w:w="324"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17</w:t>
            </w:r>
          </w:p>
        </w:tc>
        <w:tc>
          <w:tcPr>
            <w:tcW w:w="737"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长乐镇</w:t>
            </w:r>
          </w:p>
        </w:tc>
        <w:tc>
          <w:tcPr>
            <w:tcW w:w="435"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2025</w:t>
            </w:r>
          </w:p>
        </w:tc>
        <w:tc>
          <w:tcPr>
            <w:tcW w:w="1895" w:type="pct"/>
            <w:shd w:val="clear" w:color="auto" w:fill="auto"/>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水竹村等镇西区片</w:t>
            </w: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2342</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585.5</w:t>
            </w:r>
          </w:p>
        </w:tc>
      </w:tr>
      <w:tr w:rsidR="008F1B68" w:rsidTr="008F1B68">
        <w:trPr>
          <w:trHeight w:val="261"/>
        </w:trPr>
        <w:tc>
          <w:tcPr>
            <w:tcW w:w="1496" w:type="pct"/>
            <w:gridSpan w:val="3"/>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合计</w:t>
            </w:r>
          </w:p>
        </w:tc>
        <w:tc>
          <w:tcPr>
            <w:tcW w:w="1895" w:type="pct"/>
            <w:shd w:val="clear" w:color="auto" w:fill="auto"/>
            <w:noWrap/>
            <w:vAlign w:val="center"/>
          </w:tcPr>
          <w:p w:rsidR="007F5F66" w:rsidRPr="008F1B68" w:rsidRDefault="007F5F66" w:rsidP="008F1B68">
            <w:pPr>
              <w:widowControl/>
              <w:jc w:val="center"/>
              <w:rPr>
                <w:rFonts w:ascii="仿宋" w:eastAsia="仿宋" w:hAnsi="仿宋" w:cs="宋体"/>
                <w:color w:val="000000"/>
                <w:sz w:val="22"/>
              </w:rPr>
            </w:pPr>
          </w:p>
        </w:tc>
        <w:tc>
          <w:tcPr>
            <w:tcW w:w="748"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48700</w:t>
            </w:r>
          </w:p>
        </w:tc>
        <w:tc>
          <w:tcPr>
            <w:tcW w:w="861" w:type="pct"/>
            <w:shd w:val="clear" w:color="auto" w:fill="auto"/>
            <w:noWrap/>
            <w:vAlign w:val="center"/>
          </w:tcPr>
          <w:p w:rsidR="007F5F66" w:rsidRPr="008F1B68" w:rsidRDefault="008F1B68" w:rsidP="008F1B68">
            <w:pPr>
              <w:widowControl/>
              <w:jc w:val="center"/>
              <w:rPr>
                <w:rFonts w:ascii="仿宋" w:eastAsia="仿宋" w:hAnsi="仿宋" w:cs="宋体"/>
                <w:color w:val="000000"/>
                <w:sz w:val="22"/>
              </w:rPr>
            </w:pPr>
            <w:r w:rsidRPr="008F1B68">
              <w:rPr>
                <w:rFonts w:ascii="仿宋" w:eastAsia="仿宋" w:hAnsi="仿宋" w:cs="宋体" w:hint="eastAsia"/>
                <w:color w:val="000000"/>
                <w:sz w:val="22"/>
              </w:rPr>
              <w:t>11994.0</w:t>
            </w:r>
          </w:p>
        </w:tc>
      </w:tr>
    </w:tbl>
    <w:p w:rsidR="007F5F66" w:rsidRDefault="008F1B68">
      <w:pPr>
        <w:pStyle w:val="C"/>
        <w:spacing w:before="312" w:after="312"/>
      </w:pPr>
      <w:bookmarkStart w:id="69" w:name="_Toc96439435"/>
      <w:bookmarkEnd w:id="66"/>
      <w:r>
        <w:rPr>
          <w:rFonts w:hint="eastAsia"/>
        </w:rPr>
        <w:t>（三）重点工程项目</w:t>
      </w:r>
      <w:bookmarkEnd w:id="69"/>
      <w:r>
        <w:t xml:space="preserve"> </w:t>
      </w:r>
    </w:p>
    <w:p w:rsidR="007F5F66" w:rsidRDefault="008F1B68">
      <w:pPr>
        <w:pStyle w:val="D"/>
        <w:spacing w:before="156" w:after="156"/>
        <w:ind w:firstLine="562"/>
      </w:pPr>
      <w:r>
        <w:rPr>
          <w:rFonts w:hint="eastAsia"/>
        </w:rPr>
        <w:t>1</w:t>
      </w:r>
      <w:r>
        <w:rPr>
          <w:rFonts w:hint="eastAsia"/>
        </w:rPr>
        <w:t>、绿色农田建设示范工程</w:t>
      </w:r>
    </w:p>
    <w:p w:rsidR="007F5F66" w:rsidRDefault="008F1B68">
      <w:pPr>
        <w:pStyle w:val="E"/>
        <w:spacing w:before="156" w:after="156"/>
        <w:ind w:firstLine="560"/>
      </w:pPr>
      <w:r>
        <w:rPr>
          <w:rFonts w:hint="eastAsia"/>
        </w:rPr>
        <w:t>根据《绍兴市农业农村局</w:t>
      </w:r>
      <w:r>
        <w:rPr>
          <w:rFonts w:hint="eastAsia"/>
        </w:rPr>
        <w:t xml:space="preserve"> </w:t>
      </w:r>
      <w:r>
        <w:rPr>
          <w:rFonts w:hint="eastAsia"/>
        </w:rPr>
        <w:t>绍兴市财政局关于做好绿色农田建设试点项目申报工作的指导意见》（绍市农通〔</w:t>
      </w:r>
      <w:r>
        <w:rPr>
          <w:rFonts w:hint="eastAsia"/>
        </w:rPr>
        <w:t>2021</w:t>
      </w:r>
      <w:r>
        <w:rPr>
          <w:rFonts w:hint="eastAsia"/>
        </w:rPr>
        <w:t>〕</w:t>
      </w:r>
      <w:r>
        <w:rPr>
          <w:rFonts w:hint="eastAsia"/>
        </w:rPr>
        <w:t>29</w:t>
      </w:r>
      <w:r>
        <w:rPr>
          <w:rFonts w:hint="eastAsia"/>
        </w:rPr>
        <w:t>号），充分发挥高标准农田建设平台作用，坚持因地制宜、科学规划、统筹投入、融合推进，积极开展绿色农田建设工程，探索建设一批</w:t>
      </w:r>
      <w:r>
        <w:t>“</w:t>
      </w:r>
      <w:r>
        <w:rPr>
          <w:rFonts w:hint="eastAsia"/>
        </w:rPr>
        <w:t>农田肥沃、设施齐全、科技先进、高产高效、绿色生态</w:t>
      </w:r>
      <w:r>
        <w:t>”</w:t>
      </w:r>
      <w:r>
        <w:rPr>
          <w:rFonts w:hint="eastAsia"/>
        </w:rPr>
        <w:t>的绿色农田。通过开展农田生态保护修复、集成推广绿色高质高效技术，提升农田生态保护</w:t>
      </w:r>
      <w:r>
        <w:rPr>
          <w:rFonts w:hint="eastAsia"/>
        </w:rPr>
        <w:lastRenderedPageBreak/>
        <w:t>能力和耕地自然景观水平，增加绿色优质农产品有效供给，打造集耕地质量保护提升、生态涵养、面源污染防治和田园生态景观改善为一体的高标准绿色农田。到</w:t>
      </w:r>
      <w:r>
        <w:t>2025</w:t>
      </w:r>
      <w:r>
        <w:rPr>
          <w:rFonts w:hint="eastAsia"/>
        </w:rPr>
        <w:t>年，全市创建绿色农田建设示范项目</w:t>
      </w:r>
      <w:r>
        <w:rPr>
          <w:rFonts w:hint="eastAsia"/>
        </w:rPr>
        <w:t>2</w:t>
      </w:r>
      <w:r>
        <w:rPr>
          <w:rFonts w:hint="eastAsia"/>
        </w:rPr>
        <w:t>个，累计建设绿色农田示范区</w:t>
      </w:r>
      <w:r>
        <w:rPr>
          <w:rFonts w:hint="eastAsia"/>
        </w:rPr>
        <w:t>0.4</w:t>
      </w:r>
      <w:r>
        <w:rPr>
          <w:rFonts w:hint="eastAsia"/>
        </w:rPr>
        <w:t>万亩以上。</w:t>
      </w:r>
    </w:p>
    <w:p w:rsidR="007F5F66" w:rsidRDefault="008F1B68">
      <w:pPr>
        <w:pStyle w:val="F2"/>
        <w:spacing w:before="156" w:after="156"/>
        <w:ind w:left="400"/>
      </w:pPr>
      <w:bookmarkStart w:id="70" w:name="_Toc96791012"/>
      <w:r>
        <w:rPr>
          <w:rFonts w:hint="eastAsia"/>
        </w:rPr>
        <w:t>表</w:t>
      </w:r>
      <w:r>
        <w:rPr>
          <w:rFonts w:hint="eastAsia"/>
        </w:rPr>
        <w:t>5-3</w:t>
      </w:r>
      <w:r>
        <w:rPr>
          <w:rFonts w:hint="eastAsia"/>
        </w:rPr>
        <w:t>绿色农田示范项目</w:t>
      </w:r>
      <w:bookmarkEnd w:id="70"/>
    </w:p>
    <w:p w:rsidR="007F5F66" w:rsidRDefault="008F1B68">
      <w:pPr>
        <w:pStyle w:val="E"/>
        <w:spacing w:beforeLines="0" w:afterLines="0" w:line="240" w:lineRule="exact"/>
        <w:ind w:firstLine="440"/>
        <w:jc w:val="right"/>
        <w:rPr>
          <w:rFonts w:ascii="仿宋" w:hAnsi="仿宋"/>
          <w:sz w:val="22"/>
          <w:szCs w:val="22"/>
        </w:rPr>
      </w:pPr>
      <w:r>
        <w:rPr>
          <w:rFonts w:ascii="仿宋" w:hAnsi="仿宋" w:hint="eastAsia"/>
          <w:sz w:val="22"/>
          <w:szCs w:val="22"/>
        </w:rPr>
        <w:t>单位：亩、万元</w:t>
      </w:r>
    </w:p>
    <w:tbl>
      <w:tblPr>
        <w:tblW w:w="5000" w:type="pct"/>
        <w:tblLook w:val="04A0" w:firstRow="1" w:lastRow="0" w:firstColumn="1" w:lastColumn="0" w:noHBand="0" w:noVBand="1"/>
      </w:tblPr>
      <w:tblGrid>
        <w:gridCol w:w="796"/>
        <w:gridCol w:w="1275"/>
        <w:gridCol w:w="1275"/>
        <w:gridCol w:w="2628"/>
        <w:gridCol w:w="1275"/>
        <w:gridCol w:w="1273"/>
      </w:tblGrid>
      <w:tr w:rsidR="007F5F66">
        <w:trPr>
          <w:trHeight w:val="300"/>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序号</w:t>
            </w:r>
          </w:p>
        </w:tc>
        <w:tc>
          <w:tcPr>
            <w:tcW w:w="748"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行政区</w:t>
            </w:r>
          </w:p>
        </w:tc>
        <w:tc>
          <w:tcPr>
            <w:tcW w:w="748"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实施年度</w:t>
            </w:r>
          </w:p>
        </w:tc>
        <w:tc>
          <w:tcPr>
            <w:tcW w:w="1542"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建设地点</w:t>
            </w:r>
          </w:p>
        </w:tc>
        <w:tc>
          <w:tcPr>
            <w:tcW w:w="748" w:type="pct"/>
            <w:tcBorders>
              <w:top w:val="single" w:sz="4" w:space="0" w:color="auto"/>
              <w:left w:val="nil"/>
              <w:bottom w:val="single" w:sz="4" w:space="0" w:color="auto"/>
              <w:right w:val="single" w:sz="4" w:space="0" w:color="auto"/>
            </w:tcBorders>
            <w:shd w:val="clear" w:color="auto" w:fill="auto"/>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项目规模</w:t>
            </w:r>
          </w:p>
        </w:tc>
        <w:tc>
          <w:tcPr>
            <w:tcW w:w="747" w:type="pct"/>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投资估算</w:t>
            </w:r>
          </w:p>
        </w:tc>
      </w:tr>
      <w:tr w:rsidR="007F5F66">
        <w:trPr>
          <w:trHeight w:val="300"/>
        </w:trPr>
        <w:tc>
          <w:tcPr>
            <w:tcW w:w="467" w:type="pct"/>
            <w:tcBorders>
              <w:top w:val="nil"/>
              <w:left w:val="single" w:sz="4" w:space="0" w:color="auto"/>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w:t>
            </w:r>
          </w:p>
        </w:tc>
        <w:tc>
          <w:tcPr>
            <w:tcW w:w="748" w:type="pct"/>
            <w:tcBorders>
              <w:top w:val="nil"/>
              <w:left w:val="nil"/>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甘霖镇</w:t>
            </w:r>
          </w:p>
        </w:tc>
        <w:tc>
          <w:tcPr>
            <w:tcW w:w="748" w:type="pct"/>
            <w:tcBorders>
              <w:top w:val="nil"/>
              <w:left w:val="nil"/>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2023年</w:t>
            </w:r>
          </w:p>
        </w:tc>
        <w:tc>
          <w:tcPr>
            <w:tcW w:w="1542" w:type="pct"/>
            <w:tcBorders>
              <w:top w:val="nil"/>
              <w:left w:val="nil"/>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嵊县农场、孔村</w:t>
            </w:r>
          </w:p>
        </w:tc>
        <w:tc>
          <w:tcPr>
            <w:tcW w:w="7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2000</w:t>
            </w:r>
          </w:p>
        </w:tc>
        <w:tc>
          <w:tcPr>
            <w:tcW w:w="747" w:type="pct"/>
            <w:tcBorders>
              <w:top w:val="single" w:sz="8" w:space="0" w:color="auto"/>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1500</w:t>
            </w:r>
          </w:p>
        </w:tc>
      </w:tr>
      <w:tr w:rsidR="007F5F66">
        <w:trPr>
          <w:trHeight w:val="300"/>
        </w:trPr>
        <w:tc>
          <w:tcPr>
            <w:tcW w:w="467" w:type="pct"/>
            <w:tcBorders>
              <w:top w:val="nil"/>
              <w:left w:val="single" w:sz="4" w:space="0" w:color="auto"/>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w:t>
            </w:r>
          </w:p>
        </w:tc>
        <w:tc>
          <w:tcPr>
            <w:tcW w:w="748" w:type="pct"/>
            <w:tcBorders>
              <w:top w:val="nil"/>
              <w:left w:val="nil"/>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三界镇</w:t>
            </w:r>
          </w:p>
        </w:tc>
        <w:tc>
          <w:tcPr>
            <w:tcW w:w="748" w:type="pct"/>
            <w:tcBorders>
              <w:top w:val="nil"/>
              <w:left w:val="nil"/>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2024年</w:t>
            </w:r>
          </w:p>
        </w:tc>
        <w:tc>
          <w:tcPr>
            <w:tcW w:w="1542" w:type="pct"/>
            <w:tcBorders>
              <w:top w:val="nil"/>
              <w:left w:val="nil"/>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清水塘村、李宅村</w:t>
            </w:r>
          </w:p>
        </w:tc>
        <w:tc>
          <w:tcPr>
            <w:tcW w:w="748" w:type="pct"/>
            <w:tcBorders>
              <w:top w:val="nil"/>
              <w:left w:val="single" w:sz="8" w:space="0" w:color="auto"/>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2000</w:t>
            </w:r>
          </w:p>
        </w:tc>
        <w:tc>
          <w:tcPr>
            <w:tcW w:w="747" w:type="pct"/>
            <w:tcBorders>
              <w:top w:val="nil"/>
              <w:left w:val="nil"/>
              <w:bottom w:val="single" w:sz="8" w:space="0" w:color="auto"/>
              <w:right w:val="single" w:sz="8" w:space="0" w:color="auto"/>
            </w:tcBorders>
            <w:shd w:val="clear" w:color="auto" w:fill="auto"/>
            <w:noWrap/>
            <w:vAlign w:val="center"/>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1500</w:t>
            </w:r>
          </w:p>
        </w:tc>
      </w:tr>
      <w:tr w:rsidR="007F5F66">
        <w:trPr>
          <w:trHeight w:val="288"/>
        </w:trPr>
        <w:tc>
          <w:tcPr>
            <w:tcW w:w="1215" w:type="pct"/>
            <w:gridSpan w:val="2"/>
            <w:tcBorders>
              <w:top w:val="nil"/>
              <w:left w:val="single" w:sz="4" w:space="0" w:color="auto"/>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合计</w:t>
            </w:r>
          </w:p>
        </w:tc>
        <w:tc>
          <w:tcPr>
            <w:tcW w:w="748" w:type="pct"/>
            <w:tcBorders>
              <w:top w:val="nil"/>
              <w:left w:val="nil"/>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 xml:space="preserve">　</w:t>
            </w:r>
          </w:p>
        </w:tc>
        <w:tc>
          <w:tcPr>
            <w:tcW w:w="1542" w:type="pct"/>
            <w:tcBorders>
              <w:top w:val="nil"/>
              <w:left w:val="nil"/>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 xml:space="preserve">　</w:t>
            </w:r>
          </w:p>
        </w:tc>
        <w:tc>
          <w:tcPr>
            <w:tcW w:w="748" w:type="pct"/>
            <w:tcBorders>
              <w:top w:val="single" w:sz="4" w:space="0" w:color="auto"/>
              <w:left w:val="nil"/>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4000</w:t>
            </w:r>
          </w:p>
        </w:tc>
        <w:tc>
          <w:tcPr>
            <w:tcW w:w="747" w:type="pct"/>
            <w:tcBorders>
              <w:top w:val="single" w:sz="4" w:space="0" w:color="auto"/>
              <w:left w:val="nil"/>
              <w:bottom w:val="single" w:sz="4" w:space="0" w:color="auto"/>
              <w:right w:val="single" w:sz="4" w:space="0" w:color="auto"/>
            </w:tcBorders>
            <w:shd w:val="clear" w:color="auto" w:fill="auto"/>
            <w:noWrap/>
            <w:vAlign w:val="bottom"/>
          </w:tcPr>
          <w:p w:rsidR="007F5F66" w:rsidRDefault="008F1B68">
            <w:pPr>
              <w:widowControl/>
              <w:jc w:val="center"/>
              <w:rPr>
                <w:rFonts w:ascii="仿宋" w:eastAsia="仿宋" w:hAnsi="仿宋" w:cs="宋体"/>
                <w:color w:val="000000"/>
                <w:sz w:val="22"/>
              </w:rPr>
            </w:pPr>
            <w:r>
              <w:rPr>
                <w:rFonts w:ascii="仿宋" w:eastAsia="仿宋" w:hAnsi="仿宋" w:cs="宋体" w:hint="eastAsia"/>
                <w:color w:val="000000"/>
                <w:sz w:val="22"/>
              </w:rPr>
              <w:t>3000</w:t>
            </w:r>
          </w:p>
        </w:tc>
      </w:tr>
    </w:tbl>
    <w:p w:rsidR="007F5F66" w:rsidRDefault="008F1B68">
      <w:pPr>
        <w:pStyle w:val="E"/>
        <w:spacing w:before="156" w:after="156"/>
        <w:ind w:firstLine="560"/>
      </w:pPr>
      <w:r>
        <w:rPr>
          <w:rFonts w:hint="eastAsia"/>
        </w:rPr>
        <w:t>2023</w:t>
      </w:r>
      <w:r>
        <w:rPr>
          <w:rFonts w:hint="eastAsia"/>
        </w:rPr>
        <w:t>年嵊州市甘霖镇绿色农田建设项目：项目选址核心区位于嵊县农场，已评为全国水稻新品种展示示范区和浙江省水稻新品种展示示范核心基地。</w:t>
      </w:r>
      <w:r>
        <w:rPr>
          <w:rFonts w:ascii="Arial" w:hAnsi="Arial" w:cs="Arial"/>
          <w:color w:val="191919"/>
          <w:shd w:val="clear" w:color="auto" w:fill="FFFFFF"/>
        </w:rPr>
        <w:t>本项目</w:t>
      </w:r>
      <w:r>
        <w:rPr>
          <w:rFonts w:hint="eastAsia"/>
        </w:rPr>
        <w:t>规划面积</w:t>
      </w:r>
      <w:r>
        <w:rPr>
          <w:rFonts w:hint="eastAsia"/>
        </w:rPr>
        <w:t>0.2</w:t>
      </w:r>
      <w:r>
        <w:rPr>
          <w:rFonts w:hint="eastAsia"/>
        </w:rPr>
        <w:t>万亩，投资预算</w:t>
      </w:r>
      <w:r>
        <w:rPr>
          <w:rFonts w:hint="eastAsia"/>
        </w:rPr>
        <w:t>1500</w:t>
      </w:r>
      <w:r>
        <w:rPr>
          <w:rFonts w:hint="eastAsia"/>
        </w:rPr>
        <w:t>万元，建设内容为生态沟渠、智慧型农田水利、数字田园、标准化示范灌区等，注重生态保护和田园美化，将“最美田园”打造成“水稻公园”，形成品牌效应，</w:t>
      </w:r>
      <w:r>
        <w:rPr>
          <w:rFonts w:ascii="Arial" w:hAnsi="Arial" w:cs="Arial"/>
          <w:color w:val="191919"/>
          <w:shd w:val="clear" w:color="auto" w:fill="FFFFFF"/>
        </w:rPr>
        <w:t>实现物联网管理、产学教研的配套，选出一批适应我省种植的水稻新品种，推进全省水稻绿色发展</w:t>
      </w:r>
      <w:r>
        <w:rPr>
          <w:rFonts w:ascii="Arial" w:hAnsi="Arial" w:cs="Arial" w:hint="eastAsia"/>
          <w:color w:val="191919"/>
          <w:shd w:val="clear" w:color="auto" w:fill="FFFFFF"/>
        </w:rPr>
        <w:t>。</w:t>
      </w:r>
    </w:p>
    <w:p w:rsidR="007F5F66" w:rsidRDefault="008F1B68">
      <w:pPr>
        <w:pStyle w:val="E"/>
        <w:spacing w:before="156" w:after="156"/>
        <w:ind w:firstLine="560"/>
      </w:pPr>
      <w:r>
        <w:rPr>
          <w:rFonts w:hint="eastAsia"/>
        </w:rPr>
        <w:t>2024</w:t>
      </w:r>
      <w:r>
        <w:rPr>
          <w:rFonts w:hint="eastAsia"/>
        </w:rPr>
        <w:t>年嵊州市三界镇绿色农田建设项目：项目选址核心区位于</w:t>
      </w:r>
      <w:r>
        <w:t>飞翼有机农业生态园，</w:t>
      </w:r>
      <w:r>
        <w:rPr>
          <w:rFonts w:hint="eastAsia"/>
        </w:rPr>
        <w:t>作</w:t>
      </w:r>
      <w:r>
        <w:t>为现代农业综合体的</w:t>
      </w:r>
      <w:r>
        <w:t>“</w:t>
      </w:r>
      <w:r>
        <w:t>嵊州样本</w:t>
      </w:r>
      <w:r>
        <w:t>”</w:t>
      </w:r>
      <w:r>
        <w:t>，以自然生态为背景、有机农业为依托、休闲旅游为重点，发展太空农业、循环农业和休闲农业。本项目</w:t>
      </w:r>
      <w:r>
        <w:rPr>
          <w:rFonts w:hint="eastAsia"/>
        </w:rPr>
        <w:t>规划面积</w:t>
      </w:r>
      <w:r>
        <w:rPr>
          <w:rFonts w:hint="eastAsia"/>
        </w:rPr>
        <w:t>0.2</w:t>
      </w:r>
      <w:r>
        <w:rPr>
          <w:rFonts w:hint="eastAsia"/>
        </w:rPr>
        <w:t>万亩，投资预算</w:t>
      </w:r>
      <w:r>
        <w:rPr>
          <w:rFonts w:hint="eastAsia"/>
        </w:rPr>
        <w:t>1500</w:t>
      </w:r>
      <w:r>
        <w:rPr>
          <w:rFonts w:hint="eastAsia"/>
        </w:rPr>
        <w:t>万元，建设内容包括新建泵站、低压管道、农田退水零直排、土壤改良、绿色防控及生态灌溉等，</w:t>
      </w:r>
      <w:r>
        <w:t>以生态农业为依托，以休闲旅游为重点，促进乡村产业融合。</w:t>
      </w:r>
    </w:p>
    <w:p w:rsidR="007F5F66" w:rsidRDefault="008F1B68">
      <w:pPr>
        <w:pStyle w:val="D"/>
        <w:spacing w:before="156" w:after="156"/>
        <w:ind w:firstLine="562"/>
      </w:pPr>
      <w:r>
        <w:rPr>
          <w:rFonts w:hint="eastAsia"/>
        </w:rPr>
        <w:lastRenderedPageBreak/>
        <w:t>2</w:t>
      </w:r>
      <w:r>
        <w:rPr>
          <w:rFonts w:hint="eastAsia"/>
        </w:rPr>
        <w:t>、数字农田建设示范工程</w:t>
      </w:r>
    </w:p>
    <w:p w:rsidR="007F5F66" w:rsidRDefault="008F1B68">
      <w:pPr>
        <w:pStyle w:val="E"/>
        <w:spacing w:before="156" w:after="156"/>
        <w:ind w:firstLine="560"/>
      </w:pPr>
      <w:r>
        <w:rPr>
          <w:rFonts w:hint="eastAsia"/>
        </w:rPr>
        <w:t>按照《绍兴市农业农村高质量发展“十四五”规划》要求，数字农田通过农业大数据平台建设、智慧农业示范基地建设、农机装备数字化转型、培育引进农业数字化服务公司和互联网农产品电子商务的系统建设，促进传统农业向现代农业转型加快农业产业数字化转型。“十四五”期间，开展数字农田建设示范项目，充分利用数字化技术，实现对高标准农田</w:t>
      </w:r>
      <w:r>
        <w:t>“</w:t>
      </w:r>
      <w:r>
        <w:rPr>
          <w:rFonts w:hint="eastAsia"/>
        </w:rPr>
        <w:t>建、管、用</w:t>
      </w:r>
      <w:r>
        <w:t>”</w:t>
      </w:r>
      <w:r>
        <w:rPr>
          <w:rFonts w:hint="eastAsia"/>
        </w:rPr>
        <w:t>全链条监管，以线上线下相结合的方式推进农业农村部门对高标准农田的整体智治。</w:t>
      </w:r>
    </w:p>
    <w:p w:rsidR="007F5F66" w:rsidRDefault="008F1B68">
      <w:pPr>
        <w:pStyle w:val="D"/>
        <w:spacing w:before="156" w:after="156"/>
        <w:ind w:firstLine="562"/>
      </w:pPr>
      <w:r>
        <w:rPr>
          <w:rFonts w:hint="eastAsia"/>
        </w:rPr>
        <w:t>3</w:t>
      </w:r>
      <w:r>
        <w:rPr>
          <w:rFonts w:hint="eastAsia"/>
        </w:rPr>
        <w:t>、高效节水灌溉示范工程</w:t>
      </w:r>
    </w:p>
    <w:p w:rsidR="007F5F66" w:rsidRDefault="008F1B68">
      <w:pPr>
        <w:pStyle w:val="E"/>
        <w:spacing w:before="156" w:after="156"/>
        <w:ind w:firstLine="560"/>
      </w:pPr>
      <w:r>
        <w:rPr>
          <w:rFonts w:hint="eastAsia"/>
        </w:rPr>
        <w:t>以问题和需求为导向，科学确定高效节水灌溉工程发展目标。集中力量抓好高标准农田建设区、现代农业园区、粮食生产功能区的高效节水灌溉工程建设，优先建设基础条件好、见效快、群众欢迎、示范作用大的高效节水灌溉工程。强化规划引导、政策支持和项目整合，加强部门合作，共同推进高效节水灌溉工作，积极引导农户、农业企业、经济合作组织、行业协会等参与高效节水灌溉工程。坚持高起点、高标准、高质量、高效益，积极采用新技术、新材料、新工艺、新设备，支持高效节水灌溉科技研究与推广。</w:t>
      </w:r>
    </w:p>
    <w:p w:rsidR="007F5F66" w:rsidRDefault="008F1B68">
      <w:pPr>
        <w:pStyle w:val="E"/>
        <w:spacing w:before="156" w:after="156"/>
        <w:ind w:firstLine="560"/>
      </w:pPr>
      <w:r>
        <w:rPr>
          <w:rFonts w:hint="eastAsia"/>
        </w:rPr>
        <w:t>以泵站、小型水源设施、地下管道灌溉、田间配套设施、墒情监测系统等为主要建设内容，提高土地利用率和灌溉水利用效率。到</w:t>
      </w:r>
      <w:r>
        <w:rPr>
          <w:rFonts w:hint="eastAsia"/>
        </w:rPr>
        <w:t>2025</w:t>
      </w:r>
      <w:r>
        <w:rPr>
          <w:rFonts w:hint="eastAsia"/>
        </w:rPr>
        <w:t>年，争取完成</w:t>
      </w:r>
      <w:r>
        <w:rPr>
          <w:rFonts w:hint="eastAsia"/>
        </w:rPr>
        <w:t>0.54</w:t>
      </w:r>
      <w:r>
        <w:rPr>
          <w:rFonts w:hint="eastAsia"/>
        </w:rPr>
        <w:t>万亩高效节水灌溉工程建设任务，助力我市粮食安全和现代农业发展。</w:t>
      </w:r>
    </w:p>
    <w:p w:rsidR="007F5F66" w:rsidRDefault="008F1B68">
      <w:pPr>
        <w:pStyle w:val="D"/>
        <w:spacing w:before="156" w:after="156"/>
        <w:ind w:firstLine="562"/>
      </w:pPr>
      <w:r>
        <w:rPr>
          <w:rFonts w:hint="eastAsia"/>
        </w:rPr>
        <w:lastRenderedPageBreak/>
        <w:t>4</w:t>
      </w:r>
      <w:r>
        <w:rPr>
          <w:rFonts w:hint="eastAsia"/>
        </w:rPr>
        <w:t>、整区推进示范工程</w:t>
      </w:r>
    </w:p>
    <w:p w:rsidR="007F5F66" w:rsidRDefault="008F1B68">
      <w:pPr>
        <w:pStyle w:val="E"/>
        <w:spacing w:before="156" w:after="156"/>
        <w:ind w:firstLine="560"/>
      </w:pPr>
      <w:r>
        <w:rPr>
          <w:rFonts w:hint="eastAsia"/>
        </w:rPr>
        <w:t>按照区域、流域和灌区辐射范围，在基础条件好，耕地集中连片区域，选取空间规划相对稳定、产业发展相对稳定、土地流转相对稳定的区域，统筹推进新建高标准农田和改造提升，基本实现区域内划定的永久基本农田全部建成高标准农田，总体上实现规模化、宜机化。</w:t>
      </w:r>
    </w:p>
    <w:p w:rsidR="007F5F66" w:rsidRDefault="008F1B68">
      <w:pPr>
        <w:pStyle w:val="E"/>
        <w:spacing w:before="156" w:after="156"/>
        <w:ind w:firstLine="560"/>
      </w:pPr>
      <w:r>
        <w:rPr>
          <w:rFonts w:hint="eastAsia"/>
        </w:rPr>
        <w:t>充分发挥财政资金引导作用，整合各类涉农资金，多渠道加大投入力度，支持整区推进示范工程，着力探索多种示范模式，建立科学高效的建、管、用长效机制。到</w:t>
      </w:r>
      <w:r>
        <w:rPr>
          <w:rFonts w:hint="eastAsia"/>
        </w:rPr>
        <w:t>2025</w:t>
      </w:r>
      <w:r>
        <w:rPr>
          <w:rFonts w:hint="eastAsia"/>
        </w:rPr>
        <w:t>年，全市创建</w:t>
      </w:r>
      <w:r>
        <w:rPr>
          <w:rFonts w:hint="eastAsia"/>
        </w:rPr>
        <w:t>1</w:t>
      </w:r>
      <w:r>
        <w:rPr>
          <w:rFonts w:hint="eastAsia"/>
        </w:rPr>
        <w:t>个高标准农田整区推进示范项目，通过整区域推进，集聚要素、创新机制、树立典型、总结经验，引领带动高标准农田建设高质量发展，形成千亩方、万亩方集中连片规模。</w:t>
      </w:r>
    </w:p>
    <w:p w:rsidR="007F5F66" w:rsidRDefault="007F5F66">
      <w:pPr>
        <w:pStyle w:val="B"/>
        <w:spacing w:before="468" w:after="468"/>
        <w:ind w:firstLine="640"/>
        <w:sectPr w:rsidR="007F5F66">
          <w:pgSz w:w="11906" w:h="16838"/>
          <w:pgMar w:top="1440" w:right="1800" w:bottom="1440" w:left="1800" w:header="851" w:footer="992" w:gutter="0"/>
          <w:pgNumType w:fmt="numberInDash"/>
          <w:cols w:space="425"/>
          <w:docGrid w:type="lines" w:linePitch="312"/>
        </w:sectPr>
      </w:pPr>
    </w:p>
    <w:p w:rsidR="007F5F66" w:rsidRDefault="008F1B68">
      <w:pPr>
        <w:pStyle w:val="B"/>
        <w:spacing w:before="468" w:after="468"/>
      </w:pPr>
      <w:bookmarkStart w:id="71" w:name="_Toc96439436"/>
      <w:bookmarkStart w:id="72" w:name="_Toc85364182"/>
      <w:r>
        <w:rPr>
          <w:rFonts w:hint="eastAsia"/>
        </w:rPr>
        <w:lastRenderedPageBreak/>
        <w:t>六、投资估算和效益分析</w:t>
      </w:r>
      <w:bookmarkEnd w:id="71"/>
      <w:bookmarkEnd w:id="72"/>
    </w:p>
    <w:p w:rsidR="007F5F66" w:rsidRDefault="008F1B68">
      <w:pPr>
        <w:pStyle w:val="C"/>
        <w:spacing w:before="312" w:after="312"/>
      </w:pPr>
      <w:bookmarkStart w:id="73" w:name="_Toc96439437"/>
      <w:bookmarkStart w:id="74" w:name="_Toc85364183"/>
      <w:r>
        <w:rPr>
          <w:rFonts w:hint="eastAsia"/>
        </w:rPr>
        <w:t>（一）投资估算</w:t>
      </w:r>
      <w:bookmarkEnd w:id="73"/>
    </w:p>
    <w:p w:rsidR="007F5F66" w:rsidRDefault="008F1B68">
      <w:pPr>
        <w:pStyle w:val="E"/>
        <w:spacing w:before="156" w:after="156"/>
        <w:ind w:firstLine="560"/>
      </w:pPr>
      <w:r>
        <w:rPr>
          <w:rFonts w:hint="eastAsia"/>
        </w:rPr>
        <w:t>“十四五”期间，高标准农田建设估算总投资</w:t>
      </w:r>
      <w:r>
        <w:rPr>
          <w:rFonts w:hint="eastAsia"/>
        </w:rPr>
        <w:t>20485</w:t>
      </w:r>
      <w:r>
        <w:rPr>
          <w:rFonts w:hint="eastAsia"/>
        </w:rPr>
        <w:t>万元，其中新建类投资</w:t>
      </w:r>
      <w:r>
        <w:rPr>
          <w:rFonts w:hint="eastAsia"/>
        </w:rPr>
        <w:t>5491</w:t>
      </w:r>
      <w:r>
        <w:rPr>
          <w:rFonts w:hint="eastAsia"/>
        </w:rPr>
        <w:t>万元、改造提升类投资</w:t>
      </w:r>
      <w:r>
        <w:rPr>
          <w:rFonts w:hint="eastAsia"/>
        </w:rPr>
        <w:t>11994</w:t>
      </w:r>
      <w:r>
        <w:rPr>
          <w:rFonts w:hint="eastAsia"/>
        </w:rPr>
        <w:t>万元、绿色农田示范项目投资</w:t>
      </w:r>
      <w:r>
        <w:rPr>
          <w:rFonts w:hint="eastAsia"/>
        </w:rPr>
        <w:t>3000</w:t>
      </w:r>
      <w:r>
        <w:rPr>
          <w:rFonts w:hint="eastAsia"/>
        </w:rPr>
        <w:t>万元。</w:t>
      </w:r>
    </w:p>
    <w:p w:rsidR="007F5F66" w:rsidRDefault="008F1B68">
      <w:pPr>
        <w:pStyle w:val="E"/>
        <w:spacing w:before="156" w:after="156"/>
        <w:ind w:firstLine="560"/>
      </w:pPr>
      <w:r>
        <w:rPr>
          <w:rFonts w:hint="eastAsia"/>
        </w:rPr>
        <w:t>资金来源通过争取中央和省级财政补助，其余由县级财政配套。</w:t>
      </w:r>
      <w:r>
        <w:t>本次规划新建类和</w:t>
      </w:r>
      <w:r>
        <w:rPr>
          <w:rFonts w:hint="eastAsia"/>
        </w:rPr>
        <w:t>改造提升类高标准农田按照</w:t>
      </w:r>
      <w:r>
        <w:rPr>
          <w:rFonts w:hint="eastAsia"/>
        </w:rPr>
        <w:t>2000</w:t>
      </w:r>
      <w:r>
        <w:rPr>
          <w:rFonts w:hint="eastAsia"/>
        </w:rPr>
        <w:t>～</w:t>
      </w:r>
      <w:r>
        <w:rPr>
          <w:rFonts w:hint="eastAsia"/>
        </w:rPr>
        <w:t>2500</w:t>
      </w:r>
      <w:r>
        <w:rPr>
          <w:rFonts w:hint="eastAsia"/>
        </w:rPr>
        <w:t>元</w:t>
      </w:r>
      <w:r>
        <w:rPr>
          <w:rFonts w:hint="eastAsia"/>
        </w:rPr>
        <w:t>/</w:t>
      </w:r>
      <w:r>
        <w:rPr>
          <w:rFonts w:hint="eastAsia"/>
        </w:rPr>
        <w:t>亩进行投资测算。根据</w:t>
      </w:r>
      <w:r>
        <w:t>《关于组织开展丘陵山区县农业机械化基础情况摸底调查工作的通知》（农机政〔</w:t>
      </w:r>
      <w:r>
        <w:t>2019</w:t>
      </w:r>
      <w:r>
        <w:t>〕</w:t>
      </w:r>
      <w:r>
        <w:t>114</w:t>
      </w:r>
      <w:r>
        <w:t>号）文件，将嵊州市确定为山区县，</w:t>
      </w:r>
      <w:r>
        <w:rPr>
          <w:rFonts w:hint="eastAsia"/>
        </w:rPr>
        <w:t>绿色农田示范项目按照丘陵山区</w:t>
      </w:r>
      <w:r>
        <w:rPr>
          <w:rFonts w:hint="eastAsia"/>
        </w:rPr>
        <w:t>5000</w:t>
      </w:r>
      <w:r>
        <w:rPr>
          <w:rFonts w:hint="eastAsia"/>
        </w:rPr>
        <w:t>元</w:t>
      </w:r>
      <w:r>
        <w:rPr>
          <w:rFonts w:hint="eastAsia"/>
        </w:rPr>
        <w:t>/</w:t>
      </w:r>
      <w:r>
        <w:rPr>
          <w:rFonts w:hint="eastAsia"/>
        </w:rPr>
        <w:t>亩的标准予以补助，加上县级</w:t>
      </w:r>
      <w:r>
        <w:rPr>
          <w:rFonts w:hint="eastAsia"/>
          <w:szCs w:val="28"/>
        </w:rPr>
        <w:t>按照不低于</w:t>
      </w:r>
      <w:r>
        <w:rPr>
          <w:rFonts w:hint="eastAsia"/>
          <w:szCs w:val="28"/>
        </w:rPr>
        <w:t>1:0.5</w:t>
      </w:r>
      <w:r>
        <w:rPr>
          <w:rFonts w:hint="eastAsia"/>
          <w:szCs w:val="28"/>
        </w:rPr>
        <w:t>的标准给予地方财政补助，</w:t>
      </w:r>
      <w:r>
        <w:rPr>
          <w:rFonts w:hint="eastAsia"/>
        </w:rPr>
        <w:t>绿色农田示范项目合计按照</w:t>
      </w:r>
      <w:r>
        <w:rPr>
          <w:rFonts w:hint="eastAsia"/>
        </w:rPr>
        <w:t>7500</w:t>
      </w:r>
      <w:r>
        <w:rPr>
          <w:rFonts w:hint="eastAsia"/>
        </w:rPr>
        <w:t>元</w:t>
      </w:r>
      <w:r>
        <w:rPr>
          <w:rFonts w:hint="eastAsia"/>
        </w:rPr>
        <w:t>/</w:t>
      </w:r>
      <w:r>
        <w:rPr>
          <w:rFonts w:hint="eastAsia"/>
        </w:rPr>
        <w:t>亩进行投资测算。其他重点工程项目根据实际建设年份的相关政策进行确认。</w:t>
      </w:r>
    </w:p>
    <w:p w:rsidR="007F5F66" w:rsidRDefault="008F1B68">
      <w:pPr>
        <w:pStyle w:val="F2"/>
        <w:spacing w:before="156" w:after="156"/>
        <w:ind w:left="400"/>
      </w:pPr>
      <w:bookmarkStart w:id="75" w:name="_Toc96791013"/>
      <w:r>
        <w:rPr>
          <w:rFonts w:hint="eastAsia"/>
        </w:rPr>
        <w:t>表</w:t>
      </w:r>
      <w:r>
        <w:rPr>
          <w:rFonts w:hint="eastAsia"/>
        </w:rPr>
        <w:t>6-1</w:t>
      </w:r>
      <w:r>
        <w:rPr>
          <w:rFonts w:hint="eastAsia"/>
        </w:rPr>
        <w:t>高标准农田建设分项目投资估算表</w:t>
      </w:r>
      <w:bookmarkEnd w:id="75"/>
    </w:p>
    <w:p w:rsidR="007F5F66" w:rsidRDefault="008F1B68">
      <w:pPr>
        <w:pStyle w:val="E"/>
        <w:spacing w:beforeLines="0" w:afterLines="0" w:line="240" w:lineRule="exact"/>
        <w:ind w:firstLine="440"/>
        <w:jc w:val="right"/>
        <w:rPr>
          <w:rFonts w:ascii="仿宋" w:hAnsi="仿宋"/>
          <w:sz w:val="22"/>
          <w:szCs w:val="22"/>
        </w:rPr>
      </w:pPr>
      <w:r>
        <w:rPr>
          <w:rFonts w:ascii="仿宋" w:hAnsi="仿宋" w:hint="eastAsia"/>
          <w:sz w:val="22"/>
          <w:szCs w:val="22"/>
        </w:rPr>
        <w:t>单位：亩、万元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248"/>
        <w:gridCol w:w="1065"/>
        <w:gridCol w:w="1352"/>
        <w:gridCol w:w="1352"/>
        <w:gridCol w:w="1246"/>
      </w:tblGrid>
      <w:tr w:rsidR="007F5F66" w:rsidTr="008F1B68">
        <w:trPr>
          <w:trHeight w:val="288"/>
        </w:trPr>
        <w:tc>
          <w:tcPr>
            <w:tcW w:w="1325" w:type="pct"/>
            <w:vMerge w:val="restart"/>
            <w:shd w:val="clear" w:color="auto" w:fill="auto"/>
            <w:noWrap/>
            <w:vAlign w:val="center"/>
          </w:tcPr>
          <w:p w:rsidR="007F5F66" w:rsidRPr="008F1B68" w:rsidRDefault="008F1B68" w:rsidP="008F1B68">
            <w:pPr>
              <w:widowControl/>
              <w:jc w:val="center"/>
              <w:rPr>
                <w:rFonts w:eastAsia="仿宋"/>
                <w:b/>
                <w:color w:val="000000"/>
                <w:sz w:val="22"/>
              </w:rPr>
            </w:pPr>
            <w:r w:rsidRPr="008F1B68">
              <w:rPr>
                <w:rFonts w:eastAsia="仿宋"/>
                <w:b/>
                <w:color w:val="000000"/>
                <w:sz w:val="22"/>
              </w:rPr>
              <w:t>项目类型</w:t>
            </w:r>
          </w:p>
        </w:tc>
        <w:tc>
          <w:tcPr>
            <w:tcW w:w="732" w:type="pct"/>
            <w:vMerge w:val="restart"/>
            <w:shd w:val="clear" w:color="auto" w:fill="auto"/>
            <w:noWrap/>
            <w:vAlign w:val="center"/>
          </w:tcPr>
          <w:p w:rsidR="007F5F66" w:rsidRPr="008F1B68" w:rsidRDefault="008F1B68" w:rsidP="008F1B68">
            <w:pPr>
              <w:widowControl/>
              <w:jc w:val="center"/>
              <w:rPr>
                <w:rFonts w:eastAsia="仿宋"/>
                <w:b/>
                <w:color w:val="000000"/>
                <w:sz w:val="22"/>
              </w:rPr>
            </w:pPr>
            <w:r w:rsidRPr="008F1B68">
              <w:rPr>
                <w:rFonts w:eastAsia="仿宋"/>
                <w:b/>
                <w:color w:val="000000"/>
                <w:sz w:val="22"/>
              </w:rPr>
              <w:t>建设规模</w:t>
            </w:r>
          </w:p>
        </w:tc>
        <w:tc>
          <w:tcPr>
            <w:tcW w:w="2942" w:type="pct"/>
            <w:gridSpan w:val="4"/>
            <w:shd w:val="clear" w:color="auto" w:fill="auto"/>
            <w:noWrap/>
            <w:vAlign w:val="center"/>
          </w:tcPr>
          <w:p w:rsidR="007F5F66" w:rsidRPr="008F1B68" w:rsidRDefault="008F1B68" w:rsidP="008F1B68">
            <w:pPr>
              <w:widowControl/>
              <w:jc w:val="center"/>
              <w:rPr>
                <w:rFonts w:eastAsia="仿宋"/>
                <w:b/>
                <w:color w:val="000000"/>
                <w:sz w:val="22"/>
              </w:rPr>
            </w:pPr>
            <w:r w:rsidRPr="008F1B68">
              <w:rPr>
                <w:rFonts w:eastAsia="仿宋"/>
                <w:b/>
                <w:color w:val="000000"/>
                <w:sz w:val="22"/>
              </w:rPr>
              <w:t>投资额</w:t>
            </w:r>
          </w:p>
        </w:tc>
      </w:tr>
      <w:tr w:rsidR="008F1B68" w:rsidTr="008F1B68">
        <w:trPr>
          <w:trHeight w:val="288"/>
        </w:trPr>
        <w:tc>
          <w:tcPr>
            <w:tcW w:w="1325" w:type="pct"/>
            <w:vMerge/>
            <w:shd w:val="clear" w:color="auto" w:fill="auto"/>
            <w:noWrap/>
            <w:vAlign w:val="center"/>
          </w:tcPr>
          <w:p w:rsidR="007F5F66" w:rsidRPr="008F1B68" w:rsidRDefault="007F5F66" w:rsidP="008F1B68">
            <w:pPr>
              <w:widowControl/>
              <w:jc w:val="center"/>
              <w:rPr>
                <w:rFonts w:eastAsia="仿宋"/>
                <w:b/>
                <w:color w:val="000000"/>
                <w:sz w:val="22"/>
              </w:rPr>
            </w:pPr>
          </w:p>
        </w:tc>
        <w:tc>
          <w:tcPr>
            <w:tcW w:w="732" w:type="pct"/>
            <w:vMerge/>
            <w:shd w:val="clear" w:color="auto" w:fill="auto"/>
            <w:noWrap/>
            <w:vAlign w:val="center"/>
          </w:tcPr>
          <w:p w:rsidR="007F5F66" w:rsidRPr="008F1B68" w:rsidRDefault="007F5F66" w:rsidP="008F1B68">
            <w:pPr>
              <w:widowControl/>
              <w:jc w:val="center"/>
              <w:rPr>
                <w:rFonts w:eastAsia="仿宋"/>
                <w:b/>
                <w:color w:val="000000"/>
                <w:sz w:val="22"/>
              </w:rPr>
            </w:pPr>
          </w:p>
        </w:tc>
        <w:tc>
          <w:tcPr>
            <w:tcW w:w="625" w:type="pct"/>
            <w:shd w:val="clear" w:color="auto" w:fill="auto"/>
            <w:noWrap/>
            <w:vAlign w:val="center"/>
          </w:tcPr>
          <w:p w:rsidR="007F5F66" w:rsidRPr="008F1B68" w:rsidRDefault="008F1B68" w:rsidP="008F1B68">
            <w:pPr>
              <w:widowControl/>
              <w:jc w:val="center"/>
              <w:rPr>
                <w:rFonts w:eastAsia="仿宋"/>
                <w:b/>
                <w:color w:val="000000"/>
                <w:sz w:val="22"/>
              </w:rPr>
            </w:pPr>
            <w:r w:rsidRPr="008F1B68">
              <w:rPr>
                <w:rFonts w:eastAsia="仿宋"/>
                <w:b/>
                <w:color w:val="000000"/>
                <w:sz w:val="22"/>
              </w:rPr>
              <w:t>总投资</w:t>
            </w:r>
          </w:p>
        </w:tc>
        <w:tc>
          <w:tcPr>
            <w:tcW w:w="793" w:type="pct"/>
            <w:shd w:val="clear" w:color="auto" w:fill="auto"/>
            <w:noWrap/>
            <w:vAlign w:val="center"/>
          </w:tcPr>
          <w:p w:rsidR="007F5F66" w:rsidRPr="008F1B68" w:rsidRDefault="008F1B68" w:rsidP="008F1B68">
            <w:pPr>
              <w:widowControl/>
              <w:jc w:val="center"/>
              <w:rPr>
                <w:rFonts w:eastAsia="仿宋"/>
                <w:b/>
                <w:color w:val="000000"/>
                <w:sz w:val="22"/>
              </w:rPr>
            </w:pPr>
            <w:r w:rsidRPr="008F1B68">
              <w:rPr>
                <w:rFonts w:eastAsia="仿宋"/>
                <w:b/>
                <w:color w:val="000000"/>
                <w:sz w:val="22"/>
              </w:rPr>
              <w:t>中央财政</w:t>
            </w:r>
          </w:p>
        </w:tc>
        <w:tc>
          <w:tcPr>
            <w:tcW w:w="793" w:type="pct"/>
            <w:shd w:val="clear" w:color="auto" w:fill="auto"/>
            <w:noWrap/>
            <w:vAlign w:val="center"/>
          </w:tcPr>
          <w:p w:rsidR="007F5F66" w:rsidRPr="008F1B68" w:rsidRDefault="008F1B68" w:rsidP="008F1B68">
            <w:pPr>
              <w:widowControl/>
              <w:jc w:val="center"/>
              <w:rPr>
                <w:rFonts w:eastAsia="仿宋"/>
                <w:b/>
                <w:color w:val="000000"/>
                <w:sz w:val="22"/>
              </w:rPr>
            </w:pPr>
            <w:r w:rsidRPr="008F1B68">
              <w:rPr>
                <w:rFonts w:eastAsia="仿宋"/>
                <w:b/>
                <w:color w:val="000000"/>
                <w:sz w:val="22"/>
              </w:rPr>
              <w:t>省级财政</w:t>
            </w:r>
          </w:p>
        </w:tc>
        <w:tc>
          <w:tcPr>
            <w:tcW w:w="731" w:type="pct"/>
            <w:shd w:val="clear" w:color="auto" w:fill="auto"/>
            <w:noWrap/>
            <w:vAlign w:val="center"/>
          </w:tcPr>
          <w:p w:rsidR="007F5F66" w:rsidRPr="008F1B68" w:rsidRDefault="008F1B68" w:rsidP="008F1B68">
            <w:pPr>
              <w:widowControl/>
              <w:jc w:val="center"/>
              <w:rPr>
                <w:rFonts w:eastAsia="仿宋"/>
                <w:b/>
                <w:color w:val="000000"/>
                <w:sz w:val="22"/>
              </w:rPr>
            </w:pPr>
            <w:r w:rsidRPr="008F1B68">
              <w:rPr>
                <w:rFonts w:eastAsia="仿宋"/>
                <w:b/>
                <w:color w:val="000000"/>
                <w:sz w:val="22"/>
              </w:rPr>
              <w:t>县级财政</w:t>
            </w:r>
          </w:p>
        </w:tc>
      </w:tr>
      <w:tr w:rsidR="008F1B68" w:rsidTr="008F1B68">
        <w:trPr>
          <w:trHeight w:val="288"/>
        </w:trPr>
        <w:tc>
          <w:tcPr>
            <w:tcW w:w="1325" w:type="pct"/>
            <w:shd w:val="clear" w:color="auto" w:fill="auto"/>
            <w:noWrap/>
            <w:vAlign w:val="center"/>
          </w:tcPr>
          <w:p w:rsidR="007F5F66" w:rsidRPr="008F1B68" w:rsidRDefault="008F1B68" w:rsidP="008F1B68">
            <w:pPr>
              <w:widowControl/>
              <w:jc w:val="center"/>
              <w:rPr>
                <w:rFonts w:eastAsia="仿宋"/>
                <w:color w:val="000000"/>
                <w:sz w:val="22"/>
              </w:rPr>
            </w:pPr>
            <w:r w:rsidRPr="008F1B68">
              <w:rPr>
                <w:rFonts w:eastAsia="仿宋"/>
                <w:color w:val="000000"/>
                <w:sz w:val="22"/>
              </w:rPr>
              <w:t>新建类</w:t>
            </w:r>
          </w:p>
        </w:tc>
        <w:tc>
          <w:tcPr>
            <w:tcW w:w="732"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2.41</w:t>
            </w:r>
          </w:p>
        </w:tc>
        <w:tc>
          <w:tcPr>
            <w:tcW w:w="625"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5491</w:t>
            </w:r>
          </w:p>
        </w:tc>
        <w:tc>
          <w:tcPr>
            <w:tcW w:w="793"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2443</w:t>
            </w:r>
          </w:p>
        </w:tc>
        <w:tc>
          <w:tcPr>
            <w:tcW w:w="793"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545</w:t>
            </w:r>
          </w:p>
        </w:tc>
        <w:tc>
          <w:tcPr>
            <w:tcW w:w="731"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2503</w:t>
            </w:r>
          </w:p>
        </w:tc>
      </w:tr>
      <w:tr w:rsidR="008F1B68" w:rsidTr="008F1B68">
        <w:trPr>
          <w:trHeight w:val="288"/>
        </w:trPr>
        <w:tc>
          <w:tcPr>
            <w:tcW w:w="1325" w:type="pct"/>
            <w:shd w:val="clear" w:color="auto" w:fill="auto"/>
            <w:noWrap/>
            <w:vAlign w:val="center"/>
          </w:tcPr>
          <w:p w:rsidR="007F5F66" w:rsidRPr="008F1B68" w:rsidRDefault="008F1B68" w:rsidP="008F1B68">
            <w:pPr>
              <w:widowControl/>
              <w:jc w:val="center"/>
              <w:rPr>
                <w:rFonts w:eastAsia="仿宋"/>
                <w:color w:val="000000"/>
                <w:sz w:val="22"/>
              </w:rPr>
            </w:pPr>
            <w:r w:rsidRPr="008F1B68">
              <w:rPr>
                <w:rFonts w:eastAsia="仿宋"/>
                <w:color w:val="000000"/>
                <w:sz w:val="22"/>
              </w:rPr>
              <w:t>改造提升类</w:t>
            </w:r>
          </w:p>
        </w:tc>
        <w:tc>
          <w:tcPr>
            <w:tcW w:w="732"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4.87</w:t>
            </w:r>
          </w:p>
        </w:tc>
        <w:tc>
          <w:tcPr>
            <w:tcW w:w="625"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11994</w:t>
            </w:r>
          </w:p>
        </w:tc>
        <w:tc>
          <w:tcPr>
            <w:tcW w:w="793"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5397</w:t>
            </w:r>
          </w:p>
        </w:tc>
        <w:tc>
          <w:tcPr>
            <w:tcW w:w="793"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1200</w:t>
            </w:r>
          </w:p>
        </w:tc>
        <w:tc>
          <w:tcPr>
            <w:tcW w:w="731"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5397</w:t>
            </w:r>
          </w:p>
        </w:tc>
      </w:tr>
      <w:tr w:rsidR="008F1B68" w:rsidTr="008F1B68">
        <w:trPr>
          <w:trHeight w:val="288"/>
        </w:trPr>
        <w:tc>
          <w:tcPr>
            <w:tcW w:w="1325" w:type="pct"/>
            <w:shd w:val="clear" w:color="auto" w:fill="auto"/>
            <w:noWrap/>
            <w:vAlign w:val="center"/>
          </w:tcPr>
          <w:p w:rsidR="007F5F66" w:rsidRPr="008F1B68" w:rsidRDefault="008F1B68" w:rsidP="008F1B68">
            <w:pPr>
              <w:widowControl/>
              <w:jc w:val="center"/>
              <w:rPr>
                <w:rFonts w:eastAsia="仿宋"/>
                <w:color w:val="000000"/>
                <w:sz w:val="22"/>
              </w:rPr>
            </w:pPr>
            <w:r w:rsidRPr="008F1B68">
              <w:rPr>
                <w:rFonts w:eastAsia="仿宋"/>
                <w:color w:val="000000"/>
                <w:sz w:val="22"/>
              </w:rPr>
              <w:t>绿色农田示范类</w:t>
            </w:r>
          </w:p>
        </w:tc>
        <w:tc>
          <w:tcPr>
            <w:tcW w:w="732"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0.4</w:t>
            </w:r>
          </w:p>
        </w:tc>
        <w:tc>
          <w:tcPr>
            <w:tcW w:w="625"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3000</w:t>
            </w:r>
          </w:p>
        </w:tc>
        <w:tc>
          <w:tcPr>
            <w:tcW w:w="793"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0</w:t>
            </w:r>
          </w:p>
        </w:tc>
        <w:tc>
          <w:tcPr>
            <w:tcW w:w="793"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2000</w:t>
            </w:r>
          </w:p>
        </w:tc>
        <w:tc>
          <w:tcPr>
            <w:tcW w:w="731"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1000</w:t>
            </w:r>
          </w:p>
        </w:tc>
      </w:tr>
      <w:tr w:rsidR="008F1B68" w:rsidTr="008F1B68">
        <w:trPr>
          <w:trHeight w:val="288"/>
        </w:trPr>
        <w:tc>
          <w:tcPr>
            <w:tcW w:w="1325" w:type="pct"/>
            <w:shd w:val="clear" w:color="auto" w:fill="auto"/>
            <w:noWrap/>
            <w:vAlign w:val="center"/>
          </w:tcPr>
          <w:p w:rsidR="007F5F66" w:rsidRPr="008F1B68" w:rsidRDefault="008F1B68" w:rsidP="008F1B68">
            <w:pPr>
              <w:widowControl/>
              <w:jc w:val="center"/>
              <w:rPr>
                <w:rFonts w:eastAsia="仿宋"/>
                <w:color w:val="000000"/>
                <w:sz w:val="22"/>
              </w:rPr>
            </w:pPr>
            <w:r w:rsidRPr="008F1B68">
              <w:rPr>
                <w:rFonts w:eastAsia="仿宋"/>
                <w:color w:val="000000"/>
                <w:sz w:val="22"/>
              </w:rPr>
              <w:t>合计</w:t>
            </w:r>
          </w:p>
        </w:tc>
        <w:tc>
          <w:tcPr>
            <w:tcW w:w="732"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7.68</w:t>
            </w:r>
          </w:p>
        </w:tc>
        <w:tc>
          <w:tcPr>
            <w:tcW w:w="625"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20485</w:t>
            </w:r>
          </w:p>
        </w:tc>
        <w:tc>
          <w:tcPr>
            <w:tcW w:w="793"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7840</w:t>
            </w:r>
          </w:p>
        </w:tc>
        <w:tc>
          <w:tcPr>
            <w:tcW w:w="793"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3745</w:t>
            </w:r>
          </w:p>
        </w:tc>
        <w:tc>
          <w:tcPr>
            <w:tcW w:w="731" w:type="pct"/>
            <w:shd w:val="clear" w:color="auto" w:fill="auto"/>
            <w:noWrap/>
            <w:vAlign w:val="bottom"/>
          </w:tcPr>
          <w:p w:rsidR="007F5F66" w:rsidRPr="008F1B68" w:rsidRDefault="008F1B68" w:rsidP="008F1B68">
            <w:pPr>
              <w:jc w:val="center"/>
              <w:rPr>
                <w:rFonts w:eastAsia="仿宋"/>
                <w:color w:val="000000"/>
                <w:sz w:val="22"/>
              </w:rPr>
            </w:pPr>
            <w:r w:rsidRPr="008F1B68">
              <w:rPr>
                <w:rFonts w:eastAsia="仿宋"/>
                <w:color w:val="000000"/>
                <w:sz w:val="22"/>
              </w:rPr>
              <w:t>8900</w:t>
            </w:r>
          </w:p>
        </w:tc>
      </w:tr>
    </w:tbl>
    <w:p w:rsidR="007F5F66" w:rsidRDefault="008F1B68">
      <w:pPr>
        <w:pStyle w:val="E"/>
        <w:spacing w:before="156" w:after="156"/>
        <w:ind w:firstLine="560"/>
      </w:pPr>
      <w:r>
        <w:rPr>
          <w:rFonts w:hint="eastAsia"/>
        </w:rPr>
        <w:t>“十四五”期间，高标准农田建设分年度投资估算，</w:t>
      </w:r>
      <w:r>
        <w:rPr>
          <w:rFonts w:hint="eastAsia"/>
        </w:rPr>
        <w:t>2021</w:t>
      </w:r>
      <w:r>
        <w:rPr>
          <w:rFonts w:hint="eastAsia"/>
        </w:rPr>
        <w:t>年投资</w:t>
      </w:r>
      <w:r>
        <w:rPr>
          <w:rFonts w:hint="eastAsia"/>
        </w:rPr>
        <w:t>7149</w:t>
      </w:r>
      <w:r>
        <w:rPr>
          <w:rFonts w:hint="eastAsia"/>
        </w:rPr>
        <w:t>万元、</w:t>
      </w:r>
      <w:r>
        <w:rPr>
          <w:rFonts w:hint="eastAsia"/>
        </w:rPr>
        <w:t>2023</w:t>
      </w:r>
      <w:r>
        <w:rPr>
          <w:rFonts w:hint="eastAsia"/>
        </w:rPr>
        <w:t>年投资</w:t>
      </w:r>
      <w:r>
        <w:rPr>
          <w:rFonts w:hint="eastAsia"/>
        </w:rPr>
        <w:t>5500</w:t>
      </w:r>
      <w:r>
        <w:rPr>
          <w:rFonts w:hint="eastAsia"/>
        </w:rPr>
        <w:t>万元、</w:t>
      </w:r>
      <w:r>
        <w:rPr>
          <w:rFonts w:hint="eastAsia"/>
        </w:rPr>
        <w:t>2024</w:t>
      </w:r>
      <w:r>
        <w:rPr>
          <w:rFonts w:hint="eastAsia"/>
        </w:rPr>
        <w:t>年投资</w:t>
      </w:r>
      <w:r>
        <w:rPr>
          <w:rFonts w:hint="eastAsia"/>
        </w:rPr>
        <w:t>4875</w:t>
      </w:r>
      <w:r>
        <w:rPr>
          <w:rFonts w:hint="eastAsia"/>
        </w:rPr>
        <w:t>万元、</w:t>
      </w:r>
      <w:r>
        <w:rPr>
          <w:rFonts w:hint="eastAsia"/>
        </w:rPr>
        <w:t>2025</w:t>
      </w:r>
      <w:r>
        <w:rPr>
          <w:rFonts w:hint="eastAsia"/>
        </w:rPr>
        <w:lastRenderedPageBreak/>
        <w:t>年投资</w:t>
      </w:r>
      <w:r>
        <w:rPr>
          <w:rFonts w:hint="eastAsia"/>
        </w:rPr>
        <w:t>2961</w:t>
      </w:r>
      <w:r>
        <w:rPr>
          <w:rFonts w:hint="eastAsia"/>
        </w:rPr>
        <w:t>万元。</w:t>
      </w:r>
    </w:p>
    <w:p w:rsidR="007F5F66" w:rsidRDefault="008F1B68">
      <w:pPr>
        <w:pStyle w:val="F2"/>
        <w:spacing w:before="156" w:after="156"/>
        <w:ind w:left="400"/>
      </w:pPr>
      <w:bookmarkStart w:id="76" w:name="_Toc96791014"/>
      <w:r>
        <w:rPr>
          <w:rFonts w:hint="eastAsia"/>
        </w:rPr>
        <w:t>表</w:t>
      </w:r>
      <w:r>
        <w:rPr>
          <w:rFonts w:hint="eastAsia"/>
        </w:rPr>
        <w:t xml:space="preserve">6-2 </w:t>
      </w:r>
      <w:r>
        <w:rPr>
          <w:rFonts w:hint="eastAsia"/>
        </w:rPr>
        <w:t>高标准农田建设分年度投资估算表</w:t>
      </w:r>
      <w:bookmarkEnd w:id="76"/>
    </w:p>
    <w:p w:rsidR="007F5F66" w:rsidRDefault="008F1B68">
      <w:pPr>
        <w:pStyle w:val="E"/>
        <w:spacing w:beforeLines="0" w:afterLines="0" w:line="240" w:lineRule="exact"/>
        <w:ind w:firstLine="440"/>
        <w:jc w:val="right"/>
        <w:rPr>
          <w:rFonts w:ascii="仿宋" w:hAnsi="仿宋"/>
          <w:sz w:val="22"/>
          <w:szCs w:val="22"/>
        </w:rPr>
      </w:pPr>
      <w:r>
        <w:rPr>
          <w:rFonts w:ascii="仿宋" w:hAnsi="仿宋" w:hint="eastAsia"/>
          <w:sz w:val="22"/>
          <w:szCs w:val="22"/>
        </w:rPr>
        <w:t>单位：亩、万元</w:t>
      </w:r>
    </w:p>
    <w:tbl>
      <w:tblPr>
        <w:tblW w:w="5000" w:type="pct"/>
        <w:tblLook w:val="04A0" w:firstRow="1" w:lastRow="0" w:firstColumn="1" w:lastColumn="0" w:noHBand="0" w:noVBand="1"/>
      </w:tblPr>
      <w:tblGrid>
        <w:gridCol w:w="1245"/>
        <w:gridCol w:w="1451"/>
        <w:gridCol w:w="1239"/>
        <w:gridCol w:w="1571"/>
        <w:gridCol w:w="1571"/>
        <w:gridCol w:w="1445"/>
      </w:tblGrid>
      <w:tr w:rsidR="007F5F66">
        <w:trPr>
          <w:trHeight w:val="288"/>
          <w:tblHeader/>
        </w:trPr>
        <w:tc>
          <w:tcPr>
            <w:tcW w:w="730" w:type="pct"/>
            <w:vMerge w:val="restart"/>
            <w:tcBorders>
              <w:top w:val="single" w:sz="4" w:space="0" w:color="auto"/>
              <w:left w:val="single" w:sz="4" w:space="0" w:color="auto"/>
              <w:right w:val="single" w:sz="4" w:space="0" w:color="auto"/>
            </w:tcBorders>
            <w:shd w:val="clear" w:color="auto" w:fill="auto"/>
            <w:noWrap/>
            <w:vAlign w:val="center"/>
          </w:tcPr>
          <w:p w:rsidR="007F5F66" w:rsidRDefault="008F1B68">
            <w:pPr>
              <w:widowControl/>
              <w:jc w:val="center"/>
              <w:rPr>
                <w:rFonts w:eastAsia="仿宋"/>
                <w:b/>
                <w:color w:val="000000"/>
                <w:sz w:val="22"/>
              </w:rPr>
            </w:pPr>
            <w:r>
              <w:rPr>
                <w:rFonts w:eastAsia="仿宋"/>
                <w:b/>
                <w:color w:val="000000"/>
                <w:sz w:val="22"/>
              </w:rPr>
              <w:t>年度</w:t>
            </w:r>
          </w:p>
        </w:tc>
        <w:tc>
          <w:tcPr>
            <w:tcW w:w="851" w:type="pct"/>
            <w:vMerge w:val="restart"/>
            <w:tcBorders>
              <w:top w:val="single" w:sz="4" w:space="0" w:color="auto"/>
              <w:left w:val="nil"/>
              <w:right w:val="single" w:sz="4" w:space="0" w:color="auto"/>
            </w:tcBorders>
            <w:shd w:val="clear" w:color="auto" w:fill="auto"/>
            <w:noWrap/>
            <w:vAlign w:val="center"/>
          </w:tcPr>
          <w:p w:rsidR="007F5F66" w:rsidRDefault="008F1B68">
            <w:pPr>
              <w:widowControl/>
              <w:jc w:val="center"/>
              <w:rPr>
                <w:rFonts w:eastAsia="仿宋"/>
                <w:b/>
                <w:color w:val="000000"/>
                <w:sz w:val="22"/>
              </w:rPr>
            </w:pPr>
            <w:r>
              <w:rPr>
                <w:rFonts w:eastAsia="仿宋"/>
                <w:b/>
                <w:color w:val="000000"/>
                <w:sz w:val="22"/>
              </w:rPr>
              <w:t>建设规模</w:t>
            </w:r>
          </w:p>
        </w:tc>
        <w:tc>
          <w:tcPr>
            <w:tcW w:w="3418" w:type="pct"/>
            <w:gridSpan w:val="4"/>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eastAsia="仿宋"/>
                <w:b/>
                <w:color w:val="000000"/>
                <w:sz w:val="22"/>
              </w:rPr>
            </w:pPr>
            <w:r>
              <w:rPr>
                <w:rFonts w:eastAsia="仿宋"/>
                <w:b/>
                <w:color w:val="000000"/>
                <w:sz w:val="22"/>
              </w:rPr>
              <w:t>投资额</w:t>
            </w:r>
          </w:p>
        </w:tc>
      </w:tr>
      <w:tr w:rsidR="007F5F66">
        <w:trPr>
          <w:trHeight w:val="288"/>
          <w:tblHeader/>
        </w:trPr>
        <w:tc>
          <w:tcPr>
            <w:tcW w:w="730" w:type="pct"/>
            <w:vMerge/>
            <w:tcBorders>
              <w:left w:val="single" w:sz="4" w:space="0" w:color="auto"/>
              <w:bottom w:val="single" w:sz="4" w:space="0" w:color="auto"/>
              <w:right w:val="single" w:sz="4" w:space="0" w:color="auto"/>
            </w:tcBorders>
            <w:shd w:val="clear" w:color="auto" w:fill="auto"/>
            <w:noWrap/>
            <w:vAlign w:val="center"/>
          </w:tcPr>
          <w:p w:rsidR="007F5F66" w:rsidRDefault="007F5F66">
            <w:pPr>
              <w:widowControl/>
              <w:jc w:val="center"/>
              <w:rPr>
                <w:rFonts w:eastAsia="仿宋"/>
                <w:b/>
                <w:color w:val="000000"/>
                <w:sz w:val="22"/>
              </w:rPr>
            </w:pPr>
          </w:p>
        </w:tc>
        <w:tc>
          <w:tcPr>
            <w:tcW w:w="851" w:type="pct"/>
            <w:vMerge/>
            <w:tcBorders>
              <w:left w:val="nil"/>
              <w:bottom w:val="single" w:sz="4" w:space="0" w:color="auto"/>
              <w:right w:val="single" w:sz="4" w:space="0" w:color="auto"/>
            </w:tcBorders>
            <w:shd w:val="clear" w:color="auto" w:fill="auto"/>
            <w:noWrap/>
            <w:vAlign w:val="center"/>
          </w:tcPr>
          <w:p w:rsidR="007F5F66" w:rsidRDefault="007F5F66">
            <w:pPr>
              <w:widowControl/>
              <w:jc w:val="center"/>
              <w:rPr>
                <w:rFonts w:eastAsia="仿宋"/>
                <w:b/>
                <w:color w:val="000000"/>
                <w:sz w:val="22"/>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eastAsia="仿宋"/>
                <w:b/>
                <w:color w:val="000000"/>
                <w:sz w:val="22"/>
              </w:rPr>
            </w:pPr>
            <w:r>
              <w:rPr>
                <w:rFonts w:eastAsia="仿宋"/>
                <w:b/>
                <w:color w:val="000000"/>
                <w:sz w:val="22"/>
              </w:rPr>
              <w:t>总投资</w:t>
            </w:r>
          </w:p>
        </w:tc>
        <w:tc>
          <w:tcPr>
            <w:tcW w:w="922" w:type="pct"/>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eastAsia="仿宋"/>
                <w:b/>
                <w:color w:val="000000"/>
                <w:sz w:val="22"/>
              </w:rPr>
            </w:pPr>
            <w:r>
              <w:rPr>
                <w:rFonts w:eastAsia="仿宋"/>
                <w:b/>
                <w:color w:val="000000"/>
                <w:sz w:val="22"/>
              </w:rPr>
              <w:t>中央财政</w:t>
            </w:r>
          </w:p>
        </w:tc>
        <w:tc>
          <w:tcPr>
            <w:tcW w:w="922" w:type="pct"/>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eastAsia="仿宋"/>
                <w:b/>
                <w:color w:val="000000"/>
                <w:sz w:val="22"/>
              </w:rPr>
            </w:pPr>
            <w:r>
              <w:rPr>
                <w:rFonts w:eastAsia="仿宋"/>
                <w:b/>
                <w:color w:val="000000"/>
                <w:sz w:val="22"/>
              </w:rPr>
              <w:t>省级财政</w:t>
            </w:r>
          </w:p>
        </w:tc>
        <w:tc>
          <w:tcPr>
            <w:tcW w:w="848" w:type="pct"/>
            <w:tcBorders>
              <w:top w:val="single" w:sz="4" w:space="0" w:color="auto"/>
              <w:left w:val="nil"/>
              <w:bottom w:val="single" w:sz="4" w:space="0" w:color="auto"/>
              <w:right w:val="single" w:sz="4" w:space="0" w:color="auto"/>
            </w:tcBorders>
            <w:shd w:val="clear" w:color="auto" w:fill="auto"/>
            <w:noWrap/>
            <w:vAlign w:val="center"/>
          </w:tcPr>
          <w:p w:rsidR="007F5F66" w:rsidRDefault="008F1B68">
            <w:pPr>
              <w:widowControl/>
              <w:jc w:val="center"/>
              <w:rPr>
                <w:rFonts w:eastAsia="仿宋"/>
                <w:b/>
                <w:color w:val="000000"/>
                <w:sz w:val="22"/>
              </w:rPr>
            </w:pPr>
            <w:r>
              <w:rPr>
                <w:rFonts w:eastAsia="仿宋"/>
                <w:b/>
                <w:color w:val="000000"/>
                <w:sz w:val="22"/>
              </w:rPr>
              <w:t>县级财政</w:t>
            </w:r>
          </w:p>
        </w:tc>
      </w:tr>
      <w:tr w:rsidR="007F5F66">
        <w:trPr>
          <w:trHeight w:val="288"/>
        </w:trPr>
        <w:tc>
          <w:tcPr>
            <w:tcW w:w="730"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eastAsia="仿宋"/>
                <w:color w:val="000000"/>
                <w:sz w:val="22"/>
              </w:rPr>
            </w:pPr>
            <w:r>
              <w:rPr>
                <w:rFonts w:eastAsia="仿宋"/>
                <w:color w:val="000000"/>
                <w:sz w:val="22"/>
              </w:rPr>
              <w:t>2021</w:t>
            </w:r>
            <w:r>
              <w:rPr>
                <w:rFonts w:eastAsia="仿宋"/>
                <w:color w:val="000000"/>
                <w:sz w:val="22"/>
              </w:rPr>
              <w:t>年</w:t>
            </w:r>
          </w:p>
        </w:tc>
        <w:tc>
          <w:tcPr>
            <w:tcW w:w="851"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eastAsia="仿宋"/>
                <w:color w:val="000000"/>
                <w:sz w:val="22"/>
              </w:rPr>
            </w:pPr>
            <w:r>
              <w:rPr>
                <w:rFonts w:eastAsia="仿宋"/>
                <w:color w:val="000000"/>
                <w:sz w:val="22"/>
              </w:rPr>
              <w:t>3.15</w:t>
            </w:r>
          </w:p>
        </w:tc>
        <w:tc>
          <w:tcPr>
            <w:tcW w:w="727"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7149</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3190</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710</w:t>
            </w:r>
          </w:p>
        </w:tc>
        <w:tc>
          <w:tcPr>
            <w:tcW w:w="84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3249</w:t>
            </w:r>
          </w:p>
        </w:tc>
      </w:tr>
      <w:tr w:rsidR="007F5F66">
        <w:trPr>
          <w:trHeight w:val="288"/>
        </w:trPr>
        <w:tc>
          <w:tcPr>
            <w:tcW w:w="730"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eastAsia="仿宋"/>
                <w:color w:val="000000"/>
                <w:sz w:val="22"/>
              </w:rPr>
            </w:pPr>
            <w:r>
              <w:rPr>
                <w:rFonts w:eastAsia="仿宋"/>
                <w:color w:val="000000"/>
                <w:sz w:val="22"/>
              </w:rPr>
              <w:t>2022</w:t>
            </w:r>
            <w:r>
              <w:rPr>
                <w:rFonts w:eastAsia="仿宋"/>
                <w:color w:val="000000"/>
                <w:sz w:val="22"/>
              </w:rPr>
              <w:t>年</w:t>
            </w:r>
          </w:p>
        </w:tc>
        <w:tc>
          <w:tcPr>
            <w:tcW w:w="851"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eastAsia="仿宋"/>
                <w:color w:val="000000"/>
                <w:sz w:val="22"/>
              </w:rPr>
            </w:pPr>
            <w:r>
              <w:rPr>
                <w:rFonts w:eastAsia="仿宋"/>
                <w:color w:val="000000"/>
                <w:sz w:val="22"/>
              </w:rPr>
              <w:t>0</w:t>
            </w:r>
          </w:p>
        </w:tc>
        <w:tc>
          <w:tcPr>
            <w:tcW w:w="727"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0</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0</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0</w:t>
            </w:r>
          </w:p>
        </w:tc>
        <w:tc>
          <w:tcPr>
            <w:tcW w:w="84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0</w:t>
            </w:r>
          </w:p>
        </w:tc>
      </w:tr>
      <w:tr w:rsidR="007F5F66">
        <w:trPr>
          <w:trHeight w:val="288"/>
        </w:trPr>
        <w:tc>
          <w:tcPr>
            <w:tcW w:w="730"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eastAsia="仿宋"/>
                <w:color w:val="000000"/>
                <w:sz w:val="22"/>
              </w:rPr>
            </w:pPr>
            <w:r>
              <w:rPr>
                <w:rFonts w:eastAsia="仿宋"/>
                <w:color w:val="000000"/>
                <w:sz w:val="22"/>
              </w:rPr>
              <w:t>2023</w:t>
            </w:r>
            <w:r>
              <w:rPr>
                <w:rFonts w:eastAsia="仿宋"/>
                <w:color w:val="000000"/>
                <w:sz w:val="22"/>
              </w:rPr>
              <w:t>年</w:t>
            </w:r>
          </w:p>
        </w:tc>
        <w:tc>
          <w:tcPr>
            <w:tcW w:w="851"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eastAsia="仿宋"/>
                <w:color w:val="000000"/>
                <w:sz w:val="22"/>
              </w:rPr>
            </w:pPr>
            <w:r>
              <w:rPr>
                <w:rFonts w:eastAsia="仿宋"/>
                <w:color w:val="000000"/>
                <w:sz w:val="22"/>
              </w:rPr>
              <w:t>1.8</w:t>
            </w:r>
          </w:p>
        </w:tc>
        <w:tc>
          <w:tcPr>
            <w:tcW w:w="727"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5500</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1800</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1400</w:t>
            </w:r>
          </w:p>
        </w:tc>
        <w:tc>
          <w:tcPr>
            <w:tcW w:w="84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2300</w:t>
            </w:r>
          </w:p>
        </w:tc>
      </w:tr>
      <w:tr w:rsidR="007F5F66">
        <w:trPr>
          <w:trHeight w:val="288"/>
        </w:trPr>
        <w:tc>
          <w:tcPr>
            <w:tcW w:w="730"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eastAsia="仿宋"/>
                <w:color w:val="000000"/>
                <w:sz w:val="22"/>
              </w:rPr>
            </w:pPr>
            <w:r>
              <w:rPr>
                <w:rFonts w:eastAsia="仿宋"/>
                <w:color w:val="000000"/>
                <w:sz w:val="22"/>
              </w:rPr>
              <w:t>2024</w:t>
            </w:r>
            <w:r>
              <w:rPr>
                <w:rFonts w:eastAsia="仿宋"/>
                <w:color w:val="000000"/>
                <w:sz w:val="22"/>
              </w:rPr>
              <w:t>年</w:t>
            </w:r>
          </w:p>
        </w:tc>
        <w:tc>
          <w:tcPr>
            <w:tcW w:w="851"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eastAsia="仿宋"/>
                <w:color w:val="000000"/>
                <w:sz w:val="22"/>
              </w:rPr>
            </w:pPr>
            <w:r>
              <w:rPr>
                <w:rFonts w:eastAsia="仿宋"/>
                <w:color w:val="000000"/>
                <w:sz w:val="22"/>
              </w:rPr>
              <w:t>1.55</w:t>
            </w:r>
          </w:p>
        </w:tc>
        <w:tc>
          <w:tcPr>
            <w:tcW w:w="727"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4875</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1519</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1337</w:t>
            </w:r>
          </w:p>
        </w:tc>
        <w:tc>
          <w:tcPr>
            <w:tcW w:w="84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2019</w:t>
            </w:r>
          </w:p>
        </w:tc>
      </w:tr>
      <w:tr w:rsidR="007F5F66">
        <w:trPr>
          <w:trHeight w:val="288"/>
        </w:trPr>
        <w:tc>
          <w:tcPr>
            <w:tcW w:w="730"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eastAsia="仿宋"/>
                <w:color w:val="000000"/>
                <w:sz w:val="22"/>
              </w:rPr>
            </w:pPr>
            <w:r>
              <w:rPr>
                <w:rFonts w:eastAsia="仿宋"/>
                <w:color w:val="000000"/>
                <w:sz w:val="22"/>
              </w:rPr>
              <w:t>2025</w:t>
            </w:r>
            <w:r>
              <w:rPr>
                <w:rFonts w:eastAsia="仿宋"/>
                <w:color w:val="000000"/>
                <w:sz w:val="22"/>
              </w:rPr>
              <w:t>年</w:t>
            </w:r>
          </w:p>
        </w:tc>
        <w:tc>
          <w:tcPr>
            <w:tcW w:w="851"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eastAsia="仿宋"/>
                <w:color w:val="000000"/>
                <w:sz w:val="22"/>
              </w:rPr>
            </w:pPr>
            <w:r>
              <w:rPr>
                <w:rFonts w:eastAsia="仿宋"/>
                <w:color w:val="000000"/>
                <w:sz w:val="22"/>
              </w:rPr>
              <w:t>1.18</w:t>
            </w:r>
          </w:p>
        </w:tc>
        <w:tc>
          <w:tcPr>
            <w:tcW w:w="727"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2961</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1332</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297</w:t>
            </w:r>
          </w:p>
        </w:tc>
        <w:tc>
          <w:tcPr>
            <w:tcW w:w="84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color w:val="000000"/>
                <w:sz w:val="22"/>
              </w:rPr>
            </w:pPr>
            <w:r>
              <w:rPr>
                <w:color w:val="000000"/>
                <w:sz w:val="22"/>
              </w:rPr>
              <w:t>1332</w:t>
            </w:r>
          </w:p>
        </w:tc>
      </w:tr>
      <w:tr w:rsidR="007F5F66">
        <w:trPr>
          <w:trHeight w:val="288"/>
        </w:trPr>
        <w:tc>
          <w:tcPr>
            <w:tcW w:w="730" w:type="pct"/>
            <w:tcBorders>
              <w:top w:val="nil"/>
              <w:left w:val="single" w:sz="4" w:space="0" w:color="auto"/>
              <w:bottom w:val="single" w:sz="4" w:space="0" w:color="auto"/>
              <w:right w:val="single" w:sz="4" w:space="0" w:color="auto"/>
            </w:tcBorders>
            <w:shd w:val="clear" w:color="auto" w:fill="auto"/>
            <w:noWrap/>
            <w:vAlign w:val="center"/>
          </w:tcPr>
          <w:p w:rsidR="007F5F66" w:rsidRDefault="008F1B68">
            <w:pPr>
              <w:widowControl/>
              <w:jc w:val="center"/>
              <w:rPr>
                <w:rFonts w:eastAsia="仿宋"/>
                <w:b/>
                <w:color w:val="000000"/>
                <w:sz w:val="22"/>
              </w:rPr>
            </w:pPr>
            <w:r>
              <w:rPr>
                <w:rFonts w:eastAsia="仿宋"/>
                <w:b/>
                <w:color w:val="000000"/>
                <w:sz w:val="22"/>
              </w:rPr>
              <w:t>合计</w:t>
            </w:r>
          </w:p>
        </w:tc>
        <w:tc>
          <w:tcPr>
            <w:tcW w:w="851" w:type="pct"/>
            <w:tcBorders>
              <w:top w:val="nil"/>
              <w:left w:val="nil"/>
              <w:bottom w:val="single" w:sz="4" w:space="0" w:color="auto"/>
              <w:right w:val="single" w:sz="4" w:space="0" w:color="auto"/>
            </w:tcBorders>
            <w:shd w:val="clear" w:color="auto" w:fill="auto"/>
            <w:noWrap/>
            <w:vAlign w:val="center"/>
          </w:tcPr>
          <w:p w:rsidR="007F5F66" w:rsidRDefault="008F1B68">
            <w:pPr>
              <w:widowControl/>
              <w:jc w:val="center"/>
              <w:rPr>
                <w:rFonts w:eastAsia="仿宋"/>
                <w:b/>
                <w:color w:val="000000"/>
                <w:sz w:val="22"/>
              </w:rPr>
            </w:pPr>
            <w:r>
              <w:rPr>
                <w:rFonts w:eastAsia="仿宋"/>
                <w:b/>
                <w:color w:val="000000"/>
                <w:sz w:val="22"/>
              </w:rPr>
              <w:t>7.68</w:t>
            </w:r>
          </w:p>
        </w:tc>
        <w:tc>
          <w:tcPr>
            <w:tcW w:w="727" w:type="pct"/>
            <w:tcBorders>
              <w:top w:val="nil"/>
              <w:left w:val="nil"/>
              <w:bottom w:val="single" w:sz="4" w:space="0" w:color="auto"/>
              <w:right w:val="single" w:sz="4" w:space="0" w:color="auto"/>
            </w:tcBorders>
            <w:shd w:val="clear" w:color="auto" w:fill="auto"/>
            <w:noWrap/>
            <w:vAlign w:val="center"/>
          </w:tcPr>
          <w:p w:rsidR="007F5F66" w:rsidRDefault="008F1B68">
            <w:pPr>
              <w:jc w:val="center"/>
              <w:rPr>
                <w:b/>
                <w:color w:val="000000"/>
                <w:sz w:val="22"/>
              </w:rPr>
            </w:pPr>
            <w:r>
              <w:rPr>
                <w:b/>
                <w:color w:val="000000"/>
                <w:sz w:val="22"/>
              </w:rPr>
              <w:t>20485</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b/>
                <w:color w:val="000000"/>
                <w:sz w:val="22"/>
              </w:rPr>
            </w:pPr>
            <w:r>
              <w:rPr>
                <w:b/>
                <w:color w:val="000000"/>
                <w:sz w:val="22"/>
              </w:rPr>
              <w:t>7841</w:t>
            </w:r>
          </w:p>
        </w:tc>
        <w:tc>
          <w:tcPr>
            <w:tcW w:w="922" w:type="pct"/>
            <w:tcBorders>
              <w:top w:val="nil"/>
              <w:left w:val="nil"/>
              <w:bottom w:val="single" w:sz="4" w:space="0" w:color="auto"/>
              <w:right w:val="single" w:sz="4" w:space="0" w:color="auto"/>
            </w:tcBorders>
            <w:shd w:val="clear" w:color="auto" w:fill="auto"/>
            <w:noWrap/>
            <w:vAlign w:val="center"/>
          </w:tcPr>
          <w:p w:rsidR="007F5F66" w:rsidRDefault="008F1B68">
            <w:pPr>
              <w:jc w:val="center"/>
              <w:rPr>
                <w:b/>
                <w:color w:val="000000"/>
                <w:sz w:val="22"/>
              </w:rPr>
            </w:pPr>
            <w:r>
              <w:rPr>
                <w:b/>
                <w:color w:val="000000"/>
                <w:sz w:val="22"/>
              </w:rPr>
              <w:t>3744</w:t>
            </w:r>
          </w:p>
        </w:tc>
        <w:tc>
          <w:tcPr>
            <w:tcW w:w="848" w:type="pct"/>
            <w:tcBorders>
              <w:top w:val="nil"/>
              <w:left w:val="nil"/>
              <w:bottom w:val="single" w:sz="4" w:space="0" w:color="auto"/>
              <w:right w:val="single" w:sz="4" w:space="0" w:color="auto"/>
            </w:tcBorders>
            <w:shd w:val="clear" w:color="auto" w:fill="auto"/>
            <w:noWrap/>
            <w:vAlign w:val="center"/>
          </w:tcPr>
          <w:p w:rsidR="007F5F66" w:rsidRDefault="008F1B68">
            <w:pPr>
              <w:jc w:val="center"/>
              <w:rPr>
                <w:b/>
                <w:color w:val="000000"/>
                <w:sz w:val="22"/>
              </w:rPr>
            </w:pPr>
            <w:r>
              <w:rPr>
                <w:b/>
                <w:color w:val="000000"/>
                <w:sz w:val="22"/>
              </w:rPr>
              <w:t>8900</w:t>
            </w:r>
          </w:p>
        </w:tc>
      </w:tr>
    </w:tbl>
    <w:p w:rsidR="007F5F66" w:rsidRDefault="008F1B68">
      <w:pPr>
        <w:pStyle w:val="C"/>
        <w:spacing w:before="312" w:after="312"/>
      </w:pPr>
      <w:bookmarkStart w:id="77" w:name="_Toc96439438"/>
      <w:r>
        <w:rPr>
          <w:rFonts w:hint="eastAsia"/>
        </w:rPr>
        <w:t>（二）效益分析</w:t>
      </w:r>
      <w:bookmarkEnd w:id="77"/>
    </w:p>
    <w:p w:rsidR="007F5F66" w:rsidRDefault="008F1B68">
      <w:pPr>
        <w:pStyle w:val="D"/>
        <w:spacing w:before="156" w:after="156"/>
        <w:ind w:firstLine="562"/>
      </w:pPr>
      <w:r>
        <w:rPr>
          <w:rFonts w:hint="eastAsia"/>
        </w:rPr>
        <w:t>1.</w:t>
      </w:r>
      <w:r>
        <w:rPr>
          <w:rFonts w:hint="eastAsia"/>
        </w:rPr>
        <w:t>经济效益</w:t>
      </w:r>
      <w:bookmarkEnd w:id="74"/>
    </w:p>
    <w:p w:rsidR="007F5F66" w:rsidRDefault="008F1B68">
      <w:pPr>
        <w:pStyle w:val="E"/>
        <w:spacing w:before="156" w:after="156"/>
        <w:ind w:firstLine="560"/>
      </w:pPr>
      <w:r>
        <w:rPr>
          <w:rFonts w:hint="eastAsia"/>
        </w:rPr>
        <w:t>“十四五”期间，全市规划高标准农田新建项目</w:t>
      </w:r>
      <w:r>
        <w:rPr>
          <w:rFonts w:hint="eastAsia"/>
        </w:rPr>
        <w:t>10</w:t>
      </w:r>
      <w:r>
        <w:rPr>
          <w:rFonts w:hint="eastAsia"/>
        </w:rPr>
        <w:t>个，改造提升高标准农田项目</w:t>
      </w:r>
      <w:r>
        <w:rPr>
          <w:rFonts w:hint="eastAsia"/>
        </w:rPr>
        <w:t>17</w:t>
      </w:r>
      <w:r>
        <w:rPr>
          <w:rFonts w:hint="eastAsia"/>
        </w:rPr>
        <w:t>个，绿色农田示范项目</w:t>
      </w:r>
      <w:r>
        <w:rPr>
          <w:rFonts w:hint="eastAsia"/>
        </w:rPr>
        <w:t>2</w:t>
      </w:r>
      <w:r>
        <w:rPr>
          <w:rFonts w:hint="eastAsia"/>
        </w:rPr>
        <w:t>个，合计建设规模</w:t>
      </w:r>
      <w:r>
        <w:rPr>
          <w:rFonts w:hint="eastAsia"/>
        </w:rPr>
        <w:t>7.68</w:t>
      </w:r>
      <w:r>
        <w:rPr>
          <w:rFonts w:hint="eastAsia"/>
        </w:rPr>
        <w:t>万亩，合计投资估算约</w:t>
      </w:r>
      <w:r>
        <w:rPr>
          <w:rFonts w:hint="eastAsia"/>
        </w:rPr>
        <w:t>2.05</w:t>
      </w:r>
      <w:r>
        <w:rPr>
          <w:rFonts w:hint="eastAsia"/>
        </w:rPr>
        <w:t>亿元。</w:t>
      </w:r>
    </w:p>
    <w:p w:rsidR="007F5F66" w:rsidRDefault="008F1B68">
      <w:pPr>
        <w:pStyle w:val="E"/>
        <w:spacing w:before="156" w:after="156"/>
        <w:ind w:firstLine="560"/>
      </w:pPr>
      <w:r>
        <w:rPr>
          <w:rFonts w:hint="eastAsia"/>
        </w:rPr>
        <w:t>高标准农田建成后，预计新增亩均提高粮食综合产能</w:t>
      </w:r>
      <w:r>
        <w:rPr>
          <w:rFonts w:hint="eastAsia"/>
        </w:rPr>
        <w:t>5</w:t>
      </w:r>
      <w:r>
        <w:t>0kg</w:t>
      </w:r>
      <w:r>
        <w:rPr>
          <w:rFonts w:hint="eastAsia"/>
        </w:rPr>
        <w:t>左右、改造提升亩均提高粮食综合产能</w:t>
      </w:r>
      <w:r>
        <w:rPr>
          <w:rFonts w:hint="eastAsia"/>
        </w:rPr>
        <w:t>40</w:t>
      </w:r>
      <w:r>
        <w:t>kg</w:t>
      </w:r>
      <w:r>
        <w:rPr>
          <w:rFonts w:hint="eastAsia"/>
        </w:rPr>
        <w:t>左右，加上优质、节水、节能、节肥、节药等其他效益，每亩耕地平均每年增收节支</w:t>
      </w:r>
      <w:r>
        <w:t>500</w:t>
      </w:r>
      <w:r>
        <w:rPr>
          <w:rFonts w:hint="eastAsia"/>
        </w:rPr>
        <w:t>元。规划实施完成后，预期能新增</w:t>
      </w:r>
      <w:r>
        <w:rPr>
          <w:rFonts w:hint="eastAsia"/>
        </w:rPr>
        <w:t>2.40</w:t>
      </w:r>
      <w:r>
        <w:rPr>
          <w:rFonts w:hint="eastAsia"/>
        </w:rPr>
        <w:t>万亩高标准农田，改造提升</w:t>
      </w:r>
      <w:r>
        <w:rPr>
          <w:rFonts w:hint="eastAsia"/>
        </w:rPr>
        <w:t>4.87</w:t>
      </w:r>
      <w:r>
        <w:rPr>
          <w:rFonts w:hint="eastAsia"/>
        </w:rPr>
        <w:t>万亩，新增高效节水灌溉面积</w:t>
      </w:r>
      <w:r>
        <w:rPr>
          <w:rFonts w:hint="eastAsia"/>
        </w:rPr>
        <w:t>0.54</w:t>
      </w:r>
      <w:r>
        <w:rPr>
          <w:rFonts w:hint="eastAsia"/>
        </w:rPr>
        <w:t>万亩。</w:t>
      </w:r>
    </w:p>
    <w:p w:rsidR="007F5F66" w:rsidRDefault="008F1B68">
      <w:pPr>
        <w:pStyle w:val="D"/>
        <w:spacing w:before="156" w:after="156"/>
        <w:ind w:firstLine="562"/>
      </w:pPr>
      <w:bookmarkStart w:id="78" w:name="_Toc85364184"/>
      <w:r>
        <w:rPr>
          <w:rFonts w:hint="eastAsia"/>
        </w:rPr>
        <w:t>2.</w:t>
      </w:r>
      <w:r>
        <w:rPr>
          <w:rFonts w:hint="eastAsia"/>
        </w:rPr>
        <w:t>社会效益</w:t>
      </w:r>
      <w:bookmarkEnd w:id="78"/>
      <w:r>
        <w:t xml:space="preserve"> </w:t>
      </w:r>
    </w:p>
    <w:p w:rsidR="007F5F66" w:rsidRPr="008F1B68" w:rsidRDefault="008F1B68">
      <w:pPr>
        <w:pStyle w:val="E"/>
        <w:spacing w:before="156" w:after="156"/>
        <w:ind w:firstLine="560"/>
      </w:pPr>
      <w:r w:rsidRPr="008F1B68">
        <w:rPr>
          <w:rFonts w:hint="eastAsia"/>
        </w:rPr>
        <w:t>保障粮食生产安全。高标准农田建设，将有效改善农业生产条件，改良土壤、提高地力，提升土地产出率和劳动生产率，达到旱涝保收、</w:t>
      </w:r>
      <w:r w:rsidRPr="008F1B68">
        <w:rPr>
          <w:rFonts w:hint="eastAsia"/>
        </w:rPr>
        <w:lastRenderedPageBreak/>
        <w:t>稳产高产的效果，对保障我市粮食安全、促进经济社会协调发展具有重大意义。</w:t>
      </w:r>
    </w:p>
    <w:p w:rsidR="007F5F66" w:rsidRPr="008F1B68" w:rsidRDefault="008F1B68">
      <w:pPr>
        <w:pStyle w:val="E"/>
        <w:spacing w:before="156" w:after="156"/>
        <w:ind w:firstLine="560"/>
      </w:pPr>
      <w:r w:rsidRPr="008F1B68">
        <w:rPr>
          <w:rFonts w:hint="eastAsia"/>
        </w:rPr>
        <w:t>推动农业高质量发展。高标准农田建设，有效促进农业规模化、专业化、标准化生产经营，加快农业新品种、新技术、新装备、新工艺的推广和应用，推动农业经营方式和生产方式的转型省级，助力推进乡村振兴。</w:t>
      </w:r>
    </w:p>
    <w:p w:rsidR="007F5F66" w:rsidRPr="008F1B68" w:rsidRDefault="008F1B68">
      <w:pPr>
        <w:pStyle w:val="E"/>
        <w:spacing w:before="156" w:after="156"/>
        <w:ind w:firstLine="560"/>
      </w:pPr>
      <w:r w:rsidRPr="008F1B68">
        <w:rPr>
          <w:rFonts w:hint="eastAsia"/>
        </w:rPr>
        <w:t>保护农民种粮积极性。高标准农田建设，通过完善农田基础设施。提升耕地质量，改善农业生产条件，增强农民种粮积极性。</w:t>
      </w:r>
    </w:p>
    <w:p w:rsidR="007F5F66" w:rsidRDefault="008F1B68">
      <w:pPr>
        <w:pStyle w:val="D"/>
        <w:spacing w:before="156" w:after="156"/>
        <w:ind w:firstLine="562"/>
      </w:pPr>
      <w:bookmarkStart w:id="79" w:name="_Toc93749863"/>
      <w:r>
        <w:rPr>
          <w:rFonts w:hint="eastAsia"/>
        </w:rPr>
        <w:t>3.</w:t>
      </w:r>
      <w:r>
        <w:rPr>
          <w:rFonts w:hint="eastAsia"/>
        </w:rPr>
        <w:t>生态效益</w:t>
      </w:r>
      <w:bookmarkEnd w:id="79"/>
      <w:r>
        <w:t xml:space="preserve"> </w:t>
      </w:r>
    </w:p>
    <w:p w:rsidR="007F5F66" w:rsidRPr="008F1B68" w:rsidRDefault="008F1B68">
      <w:pPr>
        <w:pStyle w:val="E"/>
        <w:spacing w:before="156" w:after="156"/>
        <w:ind w:firstLine="560"/>
      </w:pPr>
      <w:r w:rsidRPr="008F1B68">
        <w:rPr>
          <w:rFonts w:hint="eastAsia"/>
        </w:rPr>
        <w:t>提升农田生态功能。通过农田防护林网与防灾减灾体系的建设，可提高区域森林覆盖率，改善农田小气候，促进水土保持，优化农田生态环境。</w:t>
      </w:r>
    </w:p>
    <w:p w:rsidR="007F5F66" w:rsidRPr="008F1B68" w:rsidRDefault="008F1B68">
      <w:pPr>
        <w:pStyle w:val="E"/>
        <w:spacing w:before="156" w:after="156"/>
        <w:ind w:firstLine="560"/>
      </w:pPr>
      <w:r w:rsidRPr="008F1B68">
        <w:rPr>
          <w:rFonts w:hint="eastAsia"/>
        </w:rPr>
        <w:t>改善农业生态环境。通过科学合理施药施肥，可减少农药和化肥用量，有效控制农业面源污染；通过农作物秸秆还田，可提高秸秆综合利用率，有效杜绝因秸秆焚烧带来的大气污染；</w:t>
      </w:r>
    </w:p>
    <w:p w:rsidR="007F5F66" w:rsidRPr="008F1B68" w:rsidRDefault="008F1B68">
      <w:pPr>
        <w:pStyle w:val="E"/>
        <w:spacing w:before="156" w:after="156"/>
        <w:ind w:firstLine="560"/>
      </w:pPr>
      <w:r w:rsidRPr="008F1B68">
        <w:rPr>
          <w:rFonts w:hint="eastAsia"/>
        </w:rPr>
        <w:t>提高水土资源利用效率。通过灌溉沟渠、电力设施及道路建设，可有效提高农业集约用水、用电、用地能力，减少资源能源消耗，促进农业可持续发展，缓解我市农业发展和日益稀缺的耕地、水资源之间的矛盾。</w:t>
      </w:r>
    </w:p>
    <w:p w:rsidR="007F5F66" w:rsidRPr="008F1B68" w:rsidRDefault="007F5F66">
      <w:pPr>
        <w:pStyle w:val="B"/>
        <w:spacing w:before="468" w:after="468"/>
        <w:rPr>
          <w:color w:val="000000"/>
        </w:rPr>
        <w:sectPr w:rsidR="007F5F66" w:rsidRPr="008F1B68">
          <w:pgSz w:w="11906" w:h="16838"/>
          <w:pgMar w:top="1440" w:right="1800" w:bottom="1440" w:left="1800" w:header="851" w:footer="992" w:gutter="0"/>
          <w:pgNumType w:fmt="numberInDash"/>
          <w:cols w:space="425"/>
          <w:docGrid w:type="lines" w:linePitch="312"/>
        </w:sectPr>
      </w:pPr>
    </w:p>
    <w:p w:rsidR="007F5F66" w:rsidRDefault="008F1B68">
      <w:pPr>
        <w:pStyle w:val="B"/>
        <w:spacing w:before="468" w:after="468"/>
      </w:pPr>
      <w:bookmarkStart w:id="80" w:name="_Toc87740080"/>
      <w:bookmarkStart w:id="81" w:name="_Toc96439439"/>
      <w:bookmarkStart w:id="82" w:name="_Toc90039643"/>
      <w:bookmarkStart w:id="83" w:name="_Toc87740087"/>
      <w:bookmarkStart w:id="84" w:name="_Toc87806306"/>
      <w:r>
        <w:rPr>
          <w:rFonts w:hint="eastAsia"/>
        </w:rPr>
        <w:lastRenderedPageBreak/>
        <w:t>七、建设监管</w:t>
      </w:r>
      <w:bookmarkEnd w:id="80"/>
      <w:r>
        <w:rPr>
          <w:rFonts w:hint="eastAsia"/>
        </w:rPr>
        <w:t>及建后管护</w:t>
      </w:r>
      <w:bookmarkEnd w:id="81"/>
      <w:bookmarkEnd w:id="82"/>
    </w:p>
    <w:p w:rsidR="007F5F66" w:rsidRDefault="008F1B68">
      <w:pPr>
        <w:pStyle w:val="C"/>
        <w:spacing w:before="312" w:after="312"/>
      </w:pPr>
      <w:bookmarkStart w:id="85" w:name="_Toc96439440"/>
      <w:bookmarkStart w:id="86" w:name="_Toc87740081"/>
      <w:bookmarkStart w:id="87" w:name="_Toc90039644"/>
      <w:r>
        <w:rPr>
          <w:rFonts w:hint="eastAsia"/>
        </w:rPr>
        <w:t>（一）明确职责分工</w:t>
      </w:r>
      <w:bookmarkEnd w:id="85"/>
      <w:bookmarkEnd w:id="86"/>
      <w:bookmarkEnd w:id="87"/>
    </w:p>
    <w:p w:rsidR="007F5F66" w:rsidRDefault="008F1B68">
      <w:pPr>
        <w:pStyle w:val="E"/>
        <w:spacing w:before="156" w:after="156"/>
        <w:ind w:firstLine="560"/>
      </w:pPr>
      <w:r>
        <w:rPr>
          <w:rFonts w:hint="eastAsia"/>
        </w:rPr>
        <w:t>1.</w:t>
      </w:r>
      <w:r>
        <w:rPr>
          <w:rFonts w:hint="eastAsia"/>
        </w:rPr>
        <w:t>农业农村局。负责本地区农田建设工作，制定县域农田建设规划，建立项目库，组织编制项目初步设计文件，申报项目，组织开展项目实施和初步验收，落实监管责任，开展日常监管。</w:t>
      </w:r>
      <w:r>
        <w:t xml:space="preserve"> </w:t>
      </w:r>
    </w:p>
    <w:p w:rsidR="007F5F66" w:rsidRDefault="008F1B68">
      <w:pPr>
        <w:pStyle w:val="E"/>
        <w:spacing w:before="156" w:after="156"/>
        <w:ind w:firstLine="560"/>
      </w:pPr>
      <w:r>
        <w:rPr>
          <w:rFonts w:hint="eastAsia"/>
        </w:rPr>
        <w:t>2.</w:t>
      </w:r>
      <w:r>
        <w:rPr>
          <w:rFonts w:hint="eastAsia"/>
        </w:rPr>
        <w:t>项目实施单位，应为项目区所在乡镇（街道）。负责高标准农田建设项目的具体性工作，选定项目参建单位、开展项目前期准备、组织项目实施和完工验收、做好项目相关审计、承担建后管护责任。</w:t>
      </w:r>
    </w:p>
    <w:p w:rsidR="007F5F66" w:rsidRDefault="008F1B68">
      <w:pPr>
        <w:pStyle w:val="C"/>
        <w:spacing w:before="312" w:after="312"/>
      </w:pPr>
      <w:bookmarkStart w:id="88" w:name="_Toc87740082"/>
      <w:bookmarkStart w:id="89" w:name="_Toc90039645"/>
      <w:bookmarkStart w:id="90" w:name="_Toc96439441"/>
      <w:r>
        <w:rPr>
          <w:rFonts w:hint="eastAsia"/>
        </w:rPr>
        <w:t>（二）强化质量管理</w:t>
      </w:r>
      <w:bookmarkEnd w:id="88"/>
      <w:bookmarkEnd w:id="89"/>
      <w:bookmarkEnd w:id="90"/>
      <w:r>
        <w:t xml:space="preserve"> </w:t>
      </w:r>
    </w:p>
    <w:p w:rsidR="007F5F66" w:rsidRDefault="008F1B68">
      <w:pPr>
        <w:pStyle w:val="E"/>
        <w:spacing w:before="156" w:after="156"/>
        <w:ind w:firstLine="560"/>
      </w:pPr>
      <w:r>
        <w:t>1.</w:t>
      </w:r>
      <w:r>
        <w:rPr>
          <w:rFonts w:hint="eastAsia"/>
        </w:rPr>
        <w:t>严控实施管理质量。高标准农田建设项目应按照批复的初步设计文件和年度实施计划组织实施，按期完工，并达到项目设计目标。建设期一般为</w:t>
      </w:r>
      <w:r>
        <w:t>1~2</w:t>
      </w:r>
      <w:r>
        <w:rPr>
          <w:rFonts w:hint="eastAsia"/>
        </w:rPr>
        <w:t>年。推行项目法人制，按照有关招标投标、政府采购、合同管理、工程监理、资金和项目公示等规定执行。参与项目建设的工程施工、监理单位要求具有水利资质。参与项目建设的标底编制、招投标代理、工程质量检测、工程造价审计、财务审计等单位或机构应具有相应资质。实现项目精细化管理，严格执行相关建设标准和规范，落实工程质量管理责任，确保建设质量。</w:t>
      </w:r>
    </w:p>
    <w:p w:rsidR="007F5F66" w:rsidRDefault="008F1B68">
      <w:pPr>
        <w:pStyle w:val="E"/>
        <w:spacing w:before="156" w:after="156"/>
        <w:ind w:firstLine="560"/>
      </w:pPr>
      <w:r>
        <w:rPr>
          <w:rFonts w:hint="eastAsia"/>
        </w:rPr>
        <w:t>2</w:t>
      </w:r>
      <w:r>
        <w:t>.</w:t>
      </w:r>
      <w:r>
        <w:rPr>
          <w:rFonts w:hint="eastAsia"/>
        </w:rPr>
        <w:t>加强社会监督。尊重农民意愿，维护农民权益，保障农民知情权、参与权和监督权。及时公开项目建设相关信息，在项目区设立统</w:t>
      </w:r>
      <w:r>
        <w:rPr>
          <w:rFonts w:hint="eastAsia"/>
        </w:rPr>
        <w:lastRenderedPageBreak/>
        <w:t>一规范的公示标牌和高标准农田标识，接受社会和群众监督。</w:t>
      </w:r>
    </w:p>
    <w:p w:rsidR="007F5F66" w:rsidRDefault="008F1B68">
      <w:pPr>
        <w:pStyle w:val="C"/>
        <w:spacing w:before="312" w:after="312"/>
      </w:pPr>
      <w:bookmarkStart w:id="91" w:name="_Toc96439442"/>
      <w:bookmarkStart w:id="92" w:name="_Toc90039646"/>
      <w:bookmarkStart w:id="93" w:name="_Toc87740083"/>
      <w:r>
        <w:rPr>
          <w:rFonts w:hint="eastAsia"/>
        </w:rPr>
        <w:t>（三）规范竣工验收</w:t>
      </w:r>
      <w:bookmarkEnd w:id="91"/>
      <w:bookmarkEnd w:id="92"/>
      <w:bookmarkEnd w:id="93"/>
      <w:r>
        <w:t xml:space="preserve"> </w:t>
      </w:r>
    </w:p>
    <w:p w:rsidR="007F5F66" w:rsidRDefault="008F1B68">
      <w:pPr>
        <w:pStyle w:val="E"/>
        <w:spacing w:before="156" w:after="156"/>
        <w:ind w:firstLine="560"/>
      </w:pPr>
      <w:r>
        <w:t>1.</w:t>
      </w:r>
      <w:r>
        <w:rPr>
          <w:rFonts w:hint="eastAsia"/>
        </w:rPr>
        <w:t>明确验收程序。现场验收由验收组独立进行，实行验收组长负责制，对竣工验收合格的项目，核发农业农村部统一格式的《高标准农田建设项目竣工验收合格证书》。对于验收不合格的，验收组应现场提出不合格的依据并提出整改要求，整改完成后，被验收单位应提供整改完成的佐证材料，经验收组成员商讨后，重新形成验收结论；验收组商讨仍然存在异议的，重新组织验收。</w:t>
      </w:r>
    </w:p>
    <w:p w:rsidR="007F5F66" w:rsidRDefault="008F1B68">
      <w:pPr>
        <w:pStyle w:val="E"/>
        <w:spacing w:before="156" w:after="156"/>
        <w:ind w:firstLine="560"/>
      </w:pPr>
      <w:r>
        <w:rPr>
          <w:rFonts w:hint="eastAsia"/>
        </w:rPr>
        <w:t>2.</w:t>
      </w:r>
      <w:r>
        <w:rPr>
          <w:rFonts w:hint="eastAsia"/>
        </w:rPr>
        <w:t>规范验收材料。竣工验收主要内容包括：项目规章制度执行情况，项目建设任务完成情况，主要工程建设质量管理情况，工程造价审计情况，项目竣工决算审计情况，工程和设施设备运行管理情况，资金到位和使用情况，文档管理情况等。</w:t>
      </w:r>
    </w:p>
    <w:p w:rsidR="007F5F66" w:rsidRDefault="008F1B68">
      <w:pPr>
        <w:pStyle w:val="E"/>
        <w:spacing w:before="156" w:after="156"/>
        <w:ind w:firstLine="560"/>
      </w:pPr>
      <w:r>
        <w:rPr>
          <w:rFonts w:hint="eastAsia"/>
        </w:rPr>
        <w:t>3</w:t>
      </w:r>
      <w:r>
        <w:t>.</w:t>
      </w:r>
      <w:r>
        <w:rPr>
          <w:rFonts w:hint="eastAsia"/>
        </w:rPr>
        <w:t>及时上图入库，规范项目归档。在全国农田建设综合监测监管系统中，把高标准农田建设项目立项、实施、验收、使用等各阶段信息及时上图入库，形成高标准农田建设</w:t>
      </w:r>
      <w:r>
        <w:t>“</w:t>
      </w:r>
      <w:r>
        <w:rPr>
          <w:rFonts w:hint="eastAsia"/>
        </w:rPr>
        <w:t>一张图</w:t>
      </w:r>
      <w:r>
        <w:t>”</w:t>
      </w:r>
      <w:r>
        <w:rPr>
          <w:rFonts w:hint="eastAsia"/>
        </w:rPr>
        <w:t>。项目通过竣工验收后，县级人民政府农业农村主管部门按照高标准农田档案管理有关规定，做好项目档案的整理、组卷、归档工作。</w:t>
      </w:r>
    </w:p>
    <w:p w:rsidR="007F5F66" w:rsidRDefault="008F1B68">
      <w:pPr>
        <w:pStyle w:val="C"/>
        <w:spacing w:before="312" w:after="312"/>
      </w:pPr>
      <w:bookmarkStart w:id="94" w:name="_Toc87740085"/>
      <w:bookmarkStart w:id="95" w:name="_Toc90039647"/>
      <w:bookmarkStart w:id="96" w:name="_Toc96439443"/>
      <w:r>
        <w:rPr>
          <w:rFonts w:hint="eastAsia"/>
        </w:rPr>
        <w:t>（四）加强后续管护</w:t>
      </w:r>
      <w:bookmarkEnd w:id="94"/>
      <w:bookmarkEnd w:id="95"/>
      <w:bookmarkEnd w:id="96"/>
      <w:r>
        <w:t xml:space="preserve"> </w:t>
      </w:r>
    </w:p>
    <w:p w:rsidR="007F5F66" w:rsidRDefault="008F1B68">
      <w:pPr>
        <w:pStyle w:val="E"/>
        <w:spacing w:before="156" w:after="156"/>
        <w:ind w:firstLine="560"/>
      </w:pPr>
      <w:r>
        <w:rPr>
          <w:rFonts w:hint="eastAsia"/>
        </w:rPr>
        <w:t>稳产高产的高标准农田是最优质的耕地资源，是粮食安全的重要基础，也是推进农业现代化、保障农民持续稳定增收的有效载体，必</w:t>
      </w:r>
      <w:r>
        <w:rPr>
          <w:rFonts w:hint="eastAsia"/>
        </w:rPr>
        <w:lastRenderedPageBreak/>
        <w:t>须建立常态化、长效化的建后管护利用机制。</w:t>
      </w:r>
    </w:p>
    <w:p w:rsidR="007F5F66" w:rsidRDefault="008F1B68">
      <w:pPr>
        <w:pStyle w:val="E"/>
        <w:spacing w:before="156" w:after="156"/>
        <w:ind w:firstLine="560"/>
      </w:pPr>
      <w:r>
        <w:t>1.</w:t>
      </w:r>
      <w:r>
        <w:rPr>
          <w:rFonts w:hint="eastAsia"/>
        </w:rPr>
        <w:t>明确管护责任。项目竣工验收后，及时按有关规定办理资产交付手续，按照“谁受益谁管护、谁使用谁管护”的原则，完善高标准农田建后管护制度，明确管护主体，压实管护责任，将建后管护落实情况纳入年度高标准农田建设评价范围，加强对管护主体和管护人员的定期技术指导、服务和监管。</w:t>
      </w:r>
      <w:r>
        <w:t xml:space="preserve"> </w:t>
      </w:r>
    </w:p>
    <w:p w:rsidR="007F5F66" w:rsidRDefault="008F1B68">
      <w:pPr>
        <w:pStyle w:val="E"/>
        <w:spacing w:before="156" w:after="156"/>
        <w:ind w:firstLine="560"/>
      </w:pPr>
      <w:r>
        <w:rPr>
          <w:rFonts w:hint="eastAsia"/>
        </w:rPr>
        <w:t>2</w:t>
      </w:r>
      <w:r>
        <w:t>.</w:t>
      </w:r>
      <w:r>
        <w:rPr>
          <w:rFonts w:hint="eastAsia"/>
        </w:rPr>
        <w:t>加强改造提升。对已建高标准农田中建成年份较早、投入较低、基础</w:t>
      </w:r>
      <w:r w:rsidR="00701B8A">
        <w:rPr>
          <w:rFonts w:hint="eastAsia"/>
        </w:rPr>
        <w:t>设</w:t>
      </w:r>
      <w:r>
        <w:rPr>
          <w:rFonts w:hint="eastAsia"/>
        </w:rPr>
        <w:t>施不完善的区域，按照“缺什么补什么”的原则，分年度、分类别、分区域有序推进已建高标准农田的改造提升，重点强化对灌溉渠系、喷灌设施、机耕路、生产桥（涵）、农田林网等公益性强、损耗性大、使用频率高的农田基础设施进行改造提升和科学合理修缮维护。</w:t>
      </w:r>
    </w:p>
    <w:p w:rsidR="007F5F66" w:rsidRDefault="007F5F66">
      <w:pPr>
        <w:pStyle w:val="E"/>
        <w:spacing w:before="156" w:after="156"/>
        <w:ind w:firstLine="560"/>
        <w:sectPr w:rsidR="007F5F66">
          <w:pgSz w:w="11906" w:h="16838"/>
          <w:pgMar w:top="1440" w:right="1800" w:bottom="1440" w:left="1800" w:header="851" w:footer="992" w:gutter="0"/>
          <w:pgNumType w:fmt="numberInDash"/>
          <w:cols w:space="425"/>
          <w:docGrid w:type="lines" w:linePitch="312"/>
        </w:sectPr>
      </w:pPr>
    </w:p>
    <w:p w:rsidR="007F5F66" w:rsidRDefault="008F1B68">
      <w:pPr>
        <w:pStyle w:val="B"/>
        <w:spacing w:before="468" w:after="468"/>
      </w:pPr>
      <w:bookmarkStart w:id="97" w:name="_Toc96439444"/>
      <w:r>
        <w:rPr>
          <w:rFonts w:hint="eastAsia"/>
        </w:rPr>
        <w:lastRenderedPageBreak/>
        <w:t>八、水资源与环境分析</w:t>
      </w:r>
      <w:bookmarkEnd w:id="83"/>
      <w:bookmarkEnd w:id="84"/>
      <w:bookmarkEnd w:id="97"/>
    </w:p>
    <w:p w:rsidR="007F5F66" w:rsidRDefault="008F1B68">
      <w:pPr>
        <w:pStyle w:val="C"/>
        <w:spacing w:before="312" w:after="312"/>
        <w:rPr>
          <w:rFonts w:cs="Times New Roman"/>
        </w:rPr>
      </w:pPr>
      <w:bookmarkStart w:id="98" w:name="_Toc87740088"/>
      <w:bookmarkStart w:id="99" w:name="_Toc96439445"/>
      <w:bookmarkStart w:id="100" w:name="_Toc87806307"/>
      <w:r>
        <w:rPr>
          <w:rFonts w:hint="eastAsia"/>
        </w:rPr>
        <w:t>（一）水资源供需分析</w:t>
      </w:r>
      <w:bookmarkEnd w:id="98"/>
      <w:bookmarkEnd w:id="99"/>
      <w:bookmarkEnd w:id="100"/>
      <w:r>
        <w:rPr>
          <w:rFonts w:cs="Times New Roman"/>
        </w:rPr>
        <w:t xml:space="preserve"> </w:t>
      </w:r>
    </w:p>
    <w:p w:rsidR="007F5F66" w:rsidRDefault="008F1B68">
      <w:pPr>
        <w:pStyle w:val="D"/>
        <w:spacing w:before="156" w:after="156"/>
        <w:ind w:firstLine="562"/>
      </w:pPr>
      <w:r>
        <w:t>1.</w:t>
      </w:r>
      <w:r>
        <w:rPr>
          <w:rFonts w:hint="eastAsia"/>
        </w:rPr>
        <w:t>水资源状况</w:t>
      </w:r>
    </w:p>
    <w:p w:rsidR="007F5F66" w:rsidRDefault="008F1B68">
      <w:pPr>
        <w:pStyle w:val="E"/>
        <w:spacing w:before="156" w:after="156"/>
        <w:ind w:firstLine="560"/>
      </w:pPr>
      <w:r>
        <w:t>嵊州市属曹娥江水系，干流澄潭江和支流长乐江、新昌江、黄泽江分别自西南、南、东南流向盆地中心，在市区汇成曹娥江，北折后冲出嵊新盆地。</w:t>
      </w:r>
    </w:p>
    <w:p w:rsidR="007F5F66" w:rsidRPr="008F1B68" w:rsidRDefault="008F1B68">
      <w:pPr>
        <w:pStyle w:val="E"/>
        <w:spacing w:before="156" w:after="156"/>
        <w:ind w:firstLine="560"/>
      </w:pPr>
      <w:r>
        <w:t>根据</w:t>
      </w:r>
      <w:r>
        <w:rPr>
          <w:rFonts w:hint="eastAsia"/>
        </w:rPr>
        <w:t>绍兴市</w:t>
      </w:r>
      <w:r>
        <w:t>水资源公报统计数据，</w:t>
      </w:r>
      <w:r>
        <w:rPr>
          <w:rFonts w:hint="eastAsia"/>
        </w:rPr>
        <w:t>2020</w:t>
      </w:r>
      <w:r>
        <w:t>年，嵊州市年降水量</w:t>
      </w:r>
      <w:r>
        <w:rPr>
          <w:rFonts w:hint="eastAsia"/>
        </w:rPr>
        <w:t>1625</w:t>
      </w:r>
      <w:r>
        <w:rPr>
          <w:rFonts w:hint="eastAsia"/>
        </w:rPr>
        <w:t>毫米，当年</w:t>
      </w:r>
      <w:r>
        <w:t>降水总量</w:t>
      </w:r>
      <w:r>
        <w:rPr>
          <w:rFonts w:hint="eastAsia"/>
        </w:rPr>
        <w:t>29.07</w:t>
      </w:r>
      <w:r w:rsidRPr="008F1B68">
        <w:t>亿立方米</w:t>
      </w:r>
      <w:r>
        <w:t>，年</w:t>
      </w:r>
      <w:r>
        <w:rPr>
          <w:rFonts w:hint="eastAsia"/>
        </w:rPr>
        <w:t>地表</w:t>
      </w:r>
      <w:r>
        <w:t>水资源量</w:t>
      </w:r>
      <w:r>
        <w:rPr>
          <w:rFonts w:hint="eastAsia"/>
        </w:rPr>
        <w:t>15.43</w:t>
      </w:r>
      <w:r w:rsidRPr="008F1B68">
        <w:t>亿立方米</w:t>
      </w:r>
      <w:r>
        <w:rPr>
          <w:rFonts w:hint="eastAsia"/>
        </w:rPr>
        <w:t>，年</w:t>
      </w:r>
      <w:r>
        <w:t>地下水资源量</w:t>
      </w:r>
      <w:r>
        <w:rPr>
          <w:rFonts w:hint="eastAsia"/>
        </w:rPr>
        <w:t>2.92</w:t>
      </w:r>
      <w:r w:rsidRPr="008F1B68">
        <w:t>亿立方米</w:t>
      </w:r>
      <w:r>
        <w:rPr>
          <w:rFonts w:hint="eastAsia"/>
        </w:rPr>
        <w:t>。年总用水量</w:t>
      </w:r>
      <w:r>
        <w:rPr>
          <w:rFonts w:hint="eastAsia"/>
        </w:rPr>
        <w:t>2.32</w:t>
      </w:r>
      <w:r w:rsidRPr="008F1B68">
        <w:t>亿立方米</w:t>
      </w:r>
      <w:r>
        <w:rPr>
          <w:rFonts w:hint="eastAsia"/>
        </w:rPr>
        <w:t>，</w:t>
      </w:r>
      <w:r w:rsidRPr="008F1B68">
        <w:t>其中农田灌溉用水量</w:t>
      </w:r>
      <w:r>
        <w:rPr>
          <w:rFonts w:hint="eastAsia"/>
        </w:rPr>
        <w:t>1.49</w:t>
      </w:r>
      <w:r w:rsidRPr="008F1B68">
        <w:t>亿立方米</w:t>
      </w:r>
      <w:r>
        <w:rPr>
          <w:rFonts w:hint="eastAsia"/>
        </w:rPr>
        <w:t>，</w:t>
      </w:r>
      <w:r w:rsidRPr="008F1B68">
        <w:t>占比</w:t>
      </w:r>
      <w:r w:rsidRPr="008F1B68">
        <w:rPr>
          <w:rFonts w:hint="eastAsia"/>
        </w:rPr>
        <w:t>64.22%</w:t>
      </w:r>
      <w:r w:rsidRPr="008F1B68">
        <w:t>；林牧渔蓄用水量</w:t>
      </w:r>
      <w:r w:rsidRPr="008F1B68">
        <w:rPr>
          <w:rFonts w:hint="eastAsia"/>
        </w:rPr>
        <w:t>0.08</w:t>
      </w:r>
      <w:r w:rsidRPr="008F1B68">
        <w:t>亿立方米，占比</w:t>
      </w:r>
      <w:r w:rsidRPr="008F1B68">
        <w:rPr>
          <w:rFonts w:hint="eastAsia"/>
        </w:rPr>
        <w:t>3.45%</w:t>
      </w:r>
      <w:r w:rsidRPr="008F1B68">
        <w:t>；生态环境用水量</w:t>
      </w:r>
      <w:r w:rsidRPr="008F1B68">
        <w:rPr>
          <w:rFonts w:hint="eastAsia"/>
        </w:rPr>
        <w:t>0.03</w:t>
      </w:r>
      <w:r w:rsidRPr="008F1B68">
        <w:t>亿立方米，占比</w:t>
      </w:r>
      <w:r w:rsidRPr="008F1B68">
        <w:rPr>
          <w:rFonts w:hint="eastAsia"/>
        </w:rPr>
        <w:t>1.29%</w:t>
      </w:r>
      <w:r w:rsidRPr="008F1B68">
        <w:rPr>
          <w:rFonts w:hint="eastAsia"/>
        </w:rPr>
        <w:t>，交界断面水质考核为优秀，为高标准农田建设提供了优质的水资源基础。</w:t>
      </w:r>
    </w:p>
    <w:p w:rsidR="007F5F66" w:rsidRDefault="008F1B68">
      <w:pPr>
        <w:pStyle w:val="D"/>
        <w:spacing w:before="156" w:after="156"/>
        <w:ind w:firstLine="562"/>
      </w:pPr>
      <w:r>
        <w:t>2.</w:t>
      </w:r>
      <w:r>
        <w:rPr>
          <w:rFonts w:hint="eastAsia"/>
        </w:rPr>
        <w:t>水资源供需平衡分析</w:t>
      </w:r>
    </w:p>
    <w:p w:rsidR="007F5F66" w:rsidRDefault="008F1B68">
      <w:pPr>
        <w:pStyle w:val="E"/>
        <w:spacing w:before="156" w:after="156"/>
        <w:ind w:firstLine="560"/>
      </w:pPr>
      <w:r>
        <w:t>“</w:t>
      </w:r>
      <w:r>
        <w:rPr>
          <w:rFonts w:hint="eastAsia"/>
        </w:rPr>
        <w:t>十四五</w:t>
      </w:r>
      <w:r>
        <w:t>”</w:t>
      </w:r>
      <w:r>
        <w:rPr>
          <w:rFonts w:hint="eastAsia"/>
        </w:rPr>
        <w:t>时期，嵊州市规划新建高标准农田约</w:t>
      </w:r>
      <w:r>
        <w:rPr>
          <w:rFonts w:hint="eastAsia"/>
        </w:rPr>
        <w:t>2.40</w:t>
      </w:r>
      <w:r>
        <w:rPr>
          <w:rFonts w:hint="eastAsia"/>
        </w:rPr>
        <w:t>万亩、改造提升</w:t>
      </w:r>
      <w:r>
        <w:rPr>
          <w:rFonts w:hint="eastAsia"/>
        </w:rPr>
        <w:t>4.87</w:t>
      </w:r>
      <w:r>
        <w:rPr>
          <w:rFonts w:hint="eastAsia"/>
        </w:rPr>
        <w:t>万亩、新增高效节水灌溉</w:t>
      </w:r>
      <w:r>
        <w:rPr>
          <w:rFonts w:hint="eastAsia"/>
        </w:rPr>
        <w:t>0.54</w:t>
      </w:r>
      <w:r>
        <w:rPr>
          <w:rFonts w:hint="eastAsia"/>
        </w:rPr>
        <w:t>万亩。</w:t>
      </w:r>
      <w:r w:rsidRPr="008F1B68">
        <w:rPr>
          <w:rFonts w:hint="eastAsia"/>
        </w:rPr>
        <w:t>嵊州市亩均毛灌溉用水量为</w:t>
      </w:r>
      <w:r w:rsidRPr="008F1B68">
        <w:rPr>
          <w:rFonts w:hint="eastAsia"/>
        </w:rPr>
        <w:t>261</w:t>
      </w:r>
      <w:r w:rsidRPr="008F1B68">
        <w:rPr>
          <w:rFonts w:hint="eastAsia"/>
        </w:rPr>
        <w:t>立方米，绍兴市亩均毛灌溉用水量为</w:t>
      </w:r>
      <w:r w:rsidRPr="008F1B68">
        <w:rPr>
          <w:rFonts w:hint="eastAsia"/>
        </w:rPr>
        <w:t>298</w:t>
      </w:r>
      <w:r w:rsidRPr="008F1B68">
        <w:rPr>
          <w:rFonts w:hint="eastAsia"/>
        </w:rPr>
        <w:t>立方米，全省亩均毛灌溉用水量为</w:t>
      </w:r>
      <w:r w:rsidRPr="008F1B68">
        <w:rPr>
          <w:rFonts w:hint="eastAsia"/>
        </w:rPr>
        <w:t>329</w:t>
      </w:r>
      <w:r w:rsidRPr="008F1B68">
        <w:rPr>
          <w:rFonts w:hint="eastAsia"/>
        </w:rPr>
        <w:t>立方米，亩均灌溉用水在合理范围内。</w:t>
      </w:r>
      <w:r>
        <w:t>农业灌溉需水量预测</w:t>
      </w:r>
      <w:r>
        <w:rPr>
          <w:rFonts w:hint="eastAsia"/>
        </w:rPr>
        <w:t>，</w:t>
      </w:r>
      <w:r>
        <w:t>目前嵊州市实际灌溉面积</w:t>
      </w:r>
      <w:r>
        <w:t>56.9</w:t>
      </w:r>
      <w:r>
        <w:t>万亩</w:t>
      </w:r>
      <w:r>
        <w:rPr>
          <w:rFonts w:hint="eastAsia"/>
        </w:rPr>
        <w:t>，</w:t>
      </w:r>
      <w:r>
        <w:t>预计规划期内有</w:t>
      </w:r>
      <w:r>
        <w:lastRenderedPageBreak/>
        <w:t>效灌溉面积维持在</w:t>
      </w:r>
      <w:r>
        <w:t>57</w:t>
      </w:r>
      <w:r>
        <w:t>万亩，耕地毛灌溉定额</w:t>
      </w:r>
      <w:r>
        <w:t>250</w:t>
      </w:r>
      <w:r w:rsidRPr="008F1B68">
        <w:rPr>
          <w:rFonts w:hint="eastAsia"/>
        </w:rPr>
        <w:t>～</w:t>
      </w:r>
      <w:r w:rsidRPr="008F1B68">
        <w:rPr>
          <w:rFonts w:hint="eastAsia"/>
        </w:rPr>
        <w:t>270</w:t>
      </w:r>
      <w:r w:rsidRPr="008F1B68">
        <w:rPr>
          <w:rFonts w:hint="eastAsia"/>
        </w:rPr>
        <w:t>立方米</w:t>
      </w:r>
      <w:r>
        <w:t>/</w:t>
      </w:r>
      <w:r>
        <w:t>亩，计算规划期内农业灌溉需水量为</w:t>
      </w:r>
      <w:r>
        <w:t>14250</w:t>
      </w:r>
      <w:r w:rsidRPr="008F1B68">
        <w:rPr>
          <w:rFonts w:hint="eastAsia"/>
        </w:rPr>
        <w:t>～</w:t>
      </w:r>
      <w:r w:rsidRPr="008F1B68">
        <w:rPr>
          <w:rFonts w:hint="eastAsia"/>
        </w:rPr>
        <w:t>15390</w:t>
      </w:r>
      <w:r>
        <w:t>万</w:t>
      </w:r>
      <w:r w:rsidRPr="008F1B68">
        <w:rPr>
          <w:rFonts w:hint="eastAsia"/>
        </w:rPr>
        <w:t>立方米</w:t>
      </w:r>
      <w:r>
        <w:t>。根据《嵊州市水资源规划》，现状</w:t>
      </w:r>
      <w:r>
        <w:rPr>
          <w:rFonts w:hint="eastAsia"/>
        </w:rPr>
        <w:t>情</w:t>
      </w:r>
      <w:r>
        <w:t>况下嵊州市水库、平原河网、山塘等各类水源可供水量中，可供农业灌溉水量为</w:t>
      </w:r>
      <w:r>
        <w:t>23995</w:t>
      </w:r>
      <w:r>
        <w:t>万</w:t>
      </w:r>
      <w:r w:rsidRPr="008F1B68">
        <w:rPr>
          <w:rFonts w:hint="eastAsia"/>
        </w:rPr>
        <w:t>立方米</w:t>
      </w:r>
      <w:r>
        <w:t>，从总量分析能有效保障农业灌溉用水。</w:t>
      </w:r>
    </w:p>
    <w:p w:rsidR="007F5F66" w:rsidRDefault="008F1B68">
      <w:pPr>
        <w:pStyle w:val="E"/>
        <w:spacing w:before="156" w:after="156"/>
        <w:ind w:firstLine="560"/>
      </w:pPr>
      <w:r>
        <w:rPr>
          <w:rFonts w:hint="eastAsia"/>
        </w:rPr>
        <w:t>据《</w:t>
      </w:r>
      <w:r>
        <w:t>嵊州市节约用水</w:t>
      </w:r>
      <w:r>
        <w:t>“</w:t>
      </w:r>
      <w:r>
        <w:t>十四五</w:t>
      </w:r>
      <w:r>
        <w:t>”</w:t>
      </w:r>
      <w:r>
        <w:t>规划报告</w:t>
      </w:r>
      <w:r>
        <w:rPr>
          <w:rFonts w:hint="eastAsia"/>
        </w:rPr>
        <w:t>》灌溉水有效利用系数由</w:t>
      </w:r>
      <w:r>
        <w:rPr>
          <w:rFonts w:hint="eastAsia"/>
        </w:rPr>
        <w:t>2020</w:t>
      </w:r>
      <w:r>
        <w:rPr>
          <w:rFonts w:hint="eastAsia"/>
        </w:rPr>
        <w:t>年的</w:t>
      </w:r>
      <w:r>
        <w:rPr>
          <w:rFonts w:hint="eastAsia"/>
        </w:rPr>
        <w:t>0.61</w:t>
      </w:r>
      <w:r>
        <w:rPr>
          <w:rFonts w:hint="eastAsia"/>
        </w:rPr>
        <w:t>，规划到</w:t>
      </w:r>
      <w:r>
        <w:t>2025</w:t>
      </w:r>
      <w:r>
        <w:rPr>
          <w:rFonts w:hint="eastAsia"/>
        </w:rPr>
        <w:t>年底，农业节水水平将进一步提升，预计农田灌溉水有效利用系数将达到</w:t>
      </w:r>
      <w:r>
        <w:t>0.615</w:t>
      </w:r>
      <w:r>
        <w:rPr>
          <w:rFonts w:hint="eastAsia"/>
        </w:rPr>
        <w:t>。现有农田灌溉水源工程类型主要有水库、塘坝、泵站等，灌溉方式以蓄水、引水为主，提水灌溉为辅，高标农田建设过程中的衬砌渠道、高效节水灌溉等工程，不仅不会增加用水量，反而能有效提升用水效率，节约农业生产用水。近年来，极端灾害性天气频繁，再做好灌溉工程的同时，更要新建和改造排水设施，预防洪涝灾害。</w:t>
      </w:r>
    </w:p>
    <w:p w:rsidR="007F5F66" w:rsidRDefault="008F1B68">
      <w:pPr>
        <w:pStyle w:val="C"/>
        <w:spacing w:before="312" w:after="312"/>
      </w:pPr>
      <w:bookmarkStart w:id="101" w:name="_Toc87806308"/>
      <w:bookmarkStart w:id="102" w:name="_Toc87740089"/>
      <w:bookmarkStart w:id="103" w:name="_Toc96439446"/>
      <w:r>
        <w:rPr>
          <w:rFonts w:hint="eastAsia"/>
        </w:rPr>
        <w:t>（二）环境影响分析</w:t>
      </w:r>
      <w:bookmarkEnd w:id="101"/>
      <w:bookmarkEnd w:id="102"/>
      <w:bookmarkEnd w:id="103"/>
      <w:r>
        <w:t xml:space="preserve"> </w:t>
      </w:r>
    </w:p>
    <w:p w:rsidR="007F5F66" w:rsidRDefault="008F1B68">
      <w:pPr>
        <w:pStyle w:val="D"/>
        <w:spacing w:before="156" w:after="156"/>
        <w:ind w:firstLine="562"/>
      </w:pPr>
      <w:r>
        <w:t>1.</w:t>
      </w:r>
      <w:r>
        <w:t>增强水体自净能力</w:t>
      </w:r>
    </w:p>
    <w:p w:rsidR="007F5F66" w:rsidRPr="008F1B68" w:rsidRDefault="008F1B68">
      <w:pPr>
        <w:pStyle w:val="E"/>
        <w:spacing w:before="156" w:after="156"/>
        <w:ind w:firstLine="560"/>
      </w:pPr>
      <w:r w:rsidRPr="008F1B68">
        <w:rPr>
          <w:rFonts w:hint="eastAsia"/>
        </w:rPr>
        <w:t>嵊新盆地及三章盆地河网密集，广泛分布上下两层泥煤层，该泥煤层对水体中的重金属元素具有较强的吸附作用，通过高标准农田建设，增加和改善灌溉面积，提高水体对有机物的自净能力，提高水生态环境质量。</w:t>
      </w:r>
    </w:p>
    <w:p w:rsidR="007F5F66" w:rsidRDefault="008F1B68">
      <w:pPr>
        <w:pStyle w:val="D"/>
        <w:spacing w:before="156" w:after="156"/>
        <w:ind w:firstLine="562"/>
      </w:pPr>
      <w:r>
        <w:t>2.</w:t>
      </w:r>
      <w:r>
        <w:rPr>
          <w:rFonts w:hint="eastAsia"/>
        </w:rPr>
        <w:t>工程建设对水土流失的影响</w:t>
      </w:r>
    </w:p>
    <w:p w:rsidR="007F5F66" w:rsidRDefault="008F1B68">
      <w:pPr>
        <w:pStyle w:val="E"/>
        <w:spacing w:before="156" w:after="156"/>
        <w:ind w:firstLine="560"/>
      </w:pPr>
      <w:r w:rsidRPr="008F1B68">
        <w:rPr>
          <w:rFonts w:hint="eastAsia"/>
        </w:rPr>
        <w:lastRenderedPageBreak/>
        <w:t>嵊州市低山丘陵分布范围广，</w:t>
      </w:r>
      <w:r>
        <w:rPr>
          <w:rFonts w:hint="eastAsia"/>
        </w:rPr>
        <w:t>山溪性河流众多，暴雨时源短流急，容易引发山洪及地质灾害，泵站的建设与维修、灌排设施的建设与改造提升、</w:t>
      </w:r>
      <w:r w:rsidRPr="008F1B68">
        <w:rPr>
          <w:rFonts w:hint="eastAsia"/>
        </w:rPr>
        <w:t>农田林网、护岸护坡的建设，可有效拦截泥沙，有效地减轻土壤侵蚀强度，防治水土流失、改善生态环境将起到积极作用。</w:t>
      </w:r>
    </w:p>
    <w:p w:rsidR="007F5F66" w:rsidRDefault="008F1B68">
      <w:pPr>
        <w:pStyle w:val="D"/>
        <w:spacing w:before="156" w:after="156"/>
        <w:ind w:firstLine="562"/>
      </w:pPr>
      <w:r>
        <w:t>3.</w:t>
      </w:r>
      <w:r>
        <w:rPr>
          <w:rFonts w:hint="eastAsia"/>
        </w:rPr>
        <w:t>农业投入品施用及其对环境的影响</w:t>
      </w:r>
    </w:p>
    <w:p w:rsidR="007F5F66" w:rsidRPr="008F1B68" w:rsidRDefault="008F1B68">
      <w:pPr>
        <w:pStyle w:val="E"/>
        <w:spacing w:before="156" w:after="156"/>
        <w:ind w:firstLine="560"/>
      </w:pPr>
      <w:r w:rsidRPr="008F1B68">
        <w:rPr>
          <w:rFonts w:hint="eastAsia"/>
        </w:rPr>
        <w:t>通过高标准农田建设，提高土壤肥力，改善农田小气候，可减轻对化肥、农药等投入品的依赖。通过推广应用科学施肥、增施有机肥、秸秆还田、绿肥种植还田、病虫害综合防治等技术，有效地减少农业面源污染，防治土壤酸化，保持耕地土壤健康。</w:t>
      </w:r>
    </w:p>
    <w:p w:rsidR="007F5F66" w:rsidRPr="008F1B68" w:rsidRDefault="007F5F66">
      <w:pPr>
        <w:pStyle w:val="E"/>
        <w:spacing w:before="156" w:after="156"/>
        <w:ind w:firstLine="560"/>
        <w:sectPr w:rsidR="007F5F66" w:rsidRPr="008F1B68">
          <w:pgSz w:w="11906" w:h="16838"/>
          <w:pgMar w:top="1440" w:right="1800" w:bottom="1440" w:left="1800" w:header="851" w:footer="992" w:gutter="0"/>
          <w:pgNumType w:fmt="numberInDash"/>
          <w:cols w:space="425"/>
          <w:docGrid w:type="lines" w:linePitch="312"/>
        </w:sectPr>
      </w:pPr>
    </w:p>
    <w:p w:rsidR="007F5F66" w:rsidRDefault="008F1B68">
      <w:pPr>
        <w:pStyle w:val="B"/>
        <w:spacing w:before="468" w:after="468"/>
      </w:pPr>
      <w:bookmarkStart w:id="104" w:name="_Toc96439447"/>
      <w:r>
        <w:rPr>
          <w:rFonts w:hint="eastAsia"/>
        </w:rPr>
        <w:lastRenderedPageBreak/>
        <w:t>九、保障措施</w:t>
      </w:r>
      <w:bookmarkEnd w:id="104"/>
    </w:p>
    <w:p w:rsidR="007F5F66" w:rsidRDefault="008F1B68">
      <w:pPr>
        <w:pStyle w:val="C"/>
        <w:spacing w:before="312" w:after="312"/>
      </w:pPr>
      <w:bookmarkStart w:id="105" w:name="_Toc96439448"/>
      <w:bookmarkStart w:id="106" w:name="_Toc87740091"/>
      <w:bookmarkStart w:id="107" w:name="_Toc90039652"/>
      <w:r>
        <w:rPr>
          <w:rFonts w:hint="eastAsia"/>
        </w:rPr>
        <w:t>（一）加强组织领导</w:t>
      </w:r>
      <w:bookmarkEnd w:id="105"/>
      <w:bookmarkEnd w:id="106"/>
      <w:bookmarkEnd w:id="107"/>
    </w:p>
    <w:p w:rsidR="007F5F66" w:rsidRDefault="008F1B68">
      <w:pPr>
        <w:pStyle w:val="E"/>
        <w:spacing w:before="156" w:after="156"/>
        <w:ind w:firstLine="560"/>
      </w:pPr>
      <w:r>
        <w:rPr>
          <w:rFonts w:hint="eastAsia"/>
        </w:rPr>
        <w:t>高标准农田建设实行中央统筹、省负总责、市县乡抓落实、群众参与的工作机制。地方政府是规划的实施主体，对高标准农田建设和管理负总责，各地各级农业农村部门要在同级人民政府的领导下，主动履职，确保各项工作任务按期完成，落实高标准农田建设统一规划布局、统一建设标准、统一组织实施、统一验收考核、统一上图入库要求，构建集中统一高效的管理新体制。</w:t>
      </w:r>
      <w:r>
        <w:t xml:space="preserve"> </w:t>
      </w:r>
    </w:p>
    <w:p w:rsidR="007F5F66" w:rsidRDefault="008F1B68">
      <w:pPr>
        <w:pStyle w:val="C"/>
        <w:spacing w:before="312" w:after="312"/>
      </w:pPr>
      <w:bookmarkStart w:id="108" w:name="_Toc90039653"/>
      <w:bookmarkStart w:id="109" w:name="_Toc87740092"/>
      <w:bookmarkStart w:id="110" w:name="_Toc96439449"/>
      <w:r>
        <w:rPr>
          <w:rFonts w:hint="eastAsia"/>
        </w:rPr>
        <w:t>（二）加强规划衔接</w:t>
      </w:r>
      <w:bookmarkEnd w:id="108"/>
      <w:bookmarkEnd w:id="109"/>
      <w:bookmarkEnd w:id="110"/>
    </w:p>
    <w:p w:rsidR="007F5F66" w:rsidRDefault="008F1B68">
      <w:pPr>
        <w:pStyle w:val="E"/>
        <w:spacing w:before="156" w:after="156"/>
        <w:ind w:firstLine="560"/>
      </w:pPr>
      <w:r>
        <w:rPr>
          <w:rFonts w:hint="eastAsia"/>
        </w:rPr>
        <w:t>以提升粮食综合生产能力为首要目标，聚焦重点区域，统筹整合资金，加大投入力度，持续推进高标准农田建设工程，切实增强农田稳产高产、旱涝保收能力，为保障粮食安全打下坚实基础，要切实提高政治站位，坚持政府引导，充分认识推进高标准农田建设的重要意义，切实加强对规划任务落实的组织领导。农业农村部门应逐级落实好建设任务和工作责任，在建设目标</w:t>
      </w:r>
      <w:r>
        <w:rPr>
          <w:rFonts w:ascii="E-BX" w:eastAsia="E-BX" w:cs="E-BX" w:hint="eastAsia"/>
        </w:rPr>
        <w:t>、</w:t>
      </w:r>
      <w:r>
        <w:rPr>
          <w:rFonts w:hint="eastAsia"/>
        </w:rPr>
        <w:t>任务</w:t>
      </w:r>
      <w:r>
        <w:rPr>
          <w:rFonts w:ascii="E-BX" w:eastAsia="E-BX" w:cs="E-BX" w:hint="eastAsia"/>
        </w:rPr>
        <w:t>、</w:t>
      </w:r>
      <w:r>
        <w:rPr>
          <w:rFonts w:hint="eastAsia"/>
        </w:rPr>
        <w:t>布局以及重大项目安排上，综合考虑资源环境承载力</w:t>
      </w:r>
      <w:r>
        <w:rPr>
          <w:rFonts w:ascii="E-BX" w:eastAsia="E-BX" w:cs="E-BX" w:hint="eastAsia"/>
        </w:rPr>
        <w:t>、</w:t>
      </w:r>
      <w:r>
        <w:rPr>
          <w:rFonts w:hint="eastAsia"/>
        </w:rPr>
        <w:t>粮食保障要求等因素，充分做好与相关部门及相关规划衔接，协同推进高标准农田建设。</w:t>
      </w:r>
    </w:p>
    <w:p w:rsidR="007F5F66" w:rsidRDefault="007F5F66">
      <w:pPr>
        <w:pStyle w:val="E"/>
        <w:spacing w:before="156" w:after="156"/>
        <w:ind w:firstLine="560"/>
      </w:pPr>
    </w:p>
    <w:p w:rsidR="007F5F66" w:rsidRDefault="007F5F66">
      <w:pPr>
        <w:pStyle w:val="E"/>
        <w:spacing w:before="156" w:after="156"/>
        <w:ind w:firstLine="560"/>
      </w:pPr>
    </w:p>
    <w:p w:rsidR="007F5F66" w:rsidRDefault="008F1B68">
      <w:pPr>
        <w:pStyle w:val="C"/>
        <w:spacing w:before="312" w:after="312"/>
      </w:pPr>
      <w:bookmarkStart w:id="111" w:name="_Toc90039654"/>
      <w:bookmarkStart w:id="112" w:name="_Toc87740093"/>
      <w:bookmarkStart w:id="113" w:name="_Toc96439450"/>
      <w:r>
        <w:rPr>
          <w:rFonts w:hint="eastAsia"/>
        </w:rPr>
        <w:lastRenderedPageBreak/>
        <w:t>（三）加强资金保障</w:t>
      </w:r>
      <w:bookmarkEnd w:id="111"/>
      <w:bookmarkEnd w:id="112"/>
      <w:bookmarkEnd w:id="113"/>
    </w:p>
    <w:p w:rsidR="007F5F66" w:rsidRDefault="008F1B68">
      <w:pPr>
        <w:pStyle w:val="E"/>
        <w:spacing w:before="156" w:after="156"/>
        <w:ind w:firstLine="560"/>
      </w:pPr>
      <w:r>
        <w:rPr>
          <w:rFonts w:hint="eastAsia"/>
        </w:rPr>
        <w:t>一是加强财政投入保障。建立健全农田建设投入有效保障机制。各级财政要统筹整合相关资金，积极支持高标准农田建设。加大土地出让收入对高标准农田建设的支持力度。优化财政支出结构，将高标准农田建设作为重点事项，按规定及时落实地方支出责任。二是统筹整合资金。健全完善涉农资金统筹整合使用机制，加大高标准农田建设投入，推进集中连片建设</w:t>
      </w:r>
      <w:r>
        <w:t>,</w:t>
      </w:r>
      <w:r>
        <w:rPr>
          <w:rFonts w:hint="eastAsia"/>
        </w:rPr>
        <w:t>集中力量办大事，确保完成规划目标任务，制定整合资金使用方案，统筹使用和有序投入各类相关资金，将任务和资金落实到地块，确保完成建设任务。</w:t>
      </w:r>
    </w:p>
    <w:p w:rsidR="007F5F66" w:rsidRDefault="008F1B68">
      <w:pPr>
        <w:pStyle w:val="C"/>
        <w:spacing w:before="312" w:after="312"/>
      </w:pPr>
      <w:bookmarkStart w:id="114" w:name="_Toc87740094"/>
      <w:bookmarkStart w:id="115" w:name="_Toc90039655"/>
      <w:bookmarkStart w:id="116" w:name="_Toc96439451"/>
      <w:r>
        <w:rPr>
          <w:rFonts w:hint="eastAsia"/>
        </w:rPr>
        <w:t>（四）加强行业管理</w:t>
      </w:r>
      <w:bookmarkEnd w:id="114"/>
      <w:bookmarkEnd w:id="115"/>
      <w:bookmarkEnd w:id="116"/>
    </w:p>
    <w:p w:rsidR="007F5F66" w:rsidRDefault="008F1B68">
      <w:pPr>
        <w:pStyle w:val="E"/>
        <w:spacing w:before="156" w:after="156"/>
        <w:ind w:firstLine="560"/>
        <w:rPr>
          <w:rFonts w:ascii="E-BX" w:eastAsia="E-BX" w:cs="E-BX"/>
        </w:rPr>
      </w:pPr>
      <w:r>
        <w:rPr>
          <w:rFonts w:hint="eastAsia"/>
        </w:rPr>
        <w:t>严把高标准农田建设从业机构资质审查关，提高勘察</w:t>
      </w:r>
      <w:r>
        <w:rPr>
          <w:rFonts w:ascii="E-BX" w:eastAsia="E-BX" w:cs="E-BX" w:hint="eastAsia"/>
        </w:rPr>
        <w:t>、</w:t>
      </w:r>
      <w:r>
        <w:rPr>
          <w:rFonts w:hint="eastAsia"/>
        </w:rPr>
        <w:t>设计</w:t>
      </w:r>
      <w:r>
        <w:rPr>
          <w:rFonts w:ascii="E-BX" w:eastAsia="E-BX" w:cs="E-BX" w:hint="eastAsia"/>
        </w:rPr>
        <w:t>、</w:t>
      </w:r>
      <w:r>
        <w:rPr>
          <w:rFonts w:hint="eastAsia"/>
        </w:rPr>
        <w:t>施工和监理等相关单位技术力量门槛，杜绝无资质或资质不符合要求的从业机构承接相关业务</w:t>
      </w:r>
      <w:r>
        <w:rPr>
          <w:rFonts w:ascii="E-BX" w:eastAsia="E-BX" w:cs="E-BX" w:hint="eastAsia"/>
        </w:rPr>
        <w:t>。</w:t>
      </w:r>
      <w:r>
        <w:rPr>
          <w:rFonts w:hint="eastAsia"/>
        </w:rPr>
        <w:t>推行信用承诺制度，依法依规建立健全高标准农田建设从业机构失信惩戒机制，加强行业自律和动态监管</w:t>
      </w:r>
      <w:r>
        <w:rPr>
          <w:rFonts w:ascii="E-BX" w:eastAsia="E-BX" w:cs="E-BX" w:hint="eastAsia"/>
        </w:rPr>
        <w:t>。</w:t>
      </w:r>
      <w:r>
        <w:rPr>
          <w:rFonts w:hint="eastAsia"/>
        </w:rPr>
        <w:t>完善廉政风险防控制度，规范项目和资金管理，确保农田建设项目安全和资金安全。</w:t>
      </w:r>
    </w:p>
    <w:p w:rsidR="007F5F66" w:rsidRDefault="008F1B68">
      <w:pPr>
        <w:pStyle w:val="C"/>
        <w:spacing w:before="312" w:after="312"/>
      </w:pPr>
      <w:bookmarkStart w:id="117" w:name="_Toc96439452"/>
      <w:bookmarkStart w:id="118" w:name="_Toc87740095"/>
      <w:bookmarkStart w:id="119" w:name="_Toc90039656"/>
      <w:r>
        <w:rPr>
          <w:rFonts w:hint="eastAsia"/>
        </w:rPr>
        <w:t>（五）加强队伍建设</w:t>
      </w:r>
      <w:bookmarkEnd w:id="117"/>
      <w:bookmarkEnd w:id="118"/>
      <w:bookmarkEnd w:id="119"/>
      <w:r>
        <w:t xml:space="preserve"> </w:t>
      </w:r>
    </w:p>
    <w:p w:rsidR="007F5F66" w:rsidRDefault="008F1B68">
      <w:pPr>
        <w:pStyle w:val="E"/>
        <w:spacing w:before="156" w:after="156"/>
        <w:ind w:firstLine="560"/>
      </w:pPr>
      <w:r>
        <w:rPr>
          <w:rFonts w:hint="eastAsia"/>
        </w:rPr>
        <w:t>加强农田建设管理和技术服务体系队伍建设，推动地方配强县乡两级工作力量，加快形成专业化人才队伍。围绕农田建设各环节，加强业务管理、技术支撑、咨询服务等队伍培养，通过业务培训、现场</w:t>
      </w:r>
      <w:r>
        <w:rPr>
          <w:rFonts w:hint="eastAsia"/>
        </w:rPr>
        <w:lastRenderedPageBreak/>
        <w:t>交流等方式，持续提升农田建设管理工作队伍的能力素质。要坚守廉政底线，严肃工作纪律，推进项目建设公开透明、廉洁高效，严格按照相关规定和程序办事，坚决反对形式主义、官僚主义，坚决防止工作作风漂浮、弄虚作假，强化项目全过程监督检查，切实防范项目实施各环节的风险。</w:t>
      </w:r>
    </w:p>
    <w:p w:rsidR="007F5F66" w:rsidRDefault="007F5F66">
      <w:pPr>
        <w:pStyle w:val="E"/>
        <w:spacing w:before="156" w:after="156"/>
        <w:ind w:firstLine="560"/>
        <w:sectPr w:rsidR="007F5F66">
          <w:pgSz w:w="11906" w:h="16838"/>
          <w:pgMar w:top="1440" w:right="1800" w:bottom="1440" w:left="1800" w:header="851" w:footer="992" w:gutter="0"/>
          <w:pgNumType w:fmt="numberInDash"/>
          <w:cols w:space="425"/>
          <w:docGrid w:type="lines" w:linePitch="312"/>
        </w:sectPr>
      </w:pPr>
    </w:p>
    <w:p w:rsidR="007F5F66" w:rsidRDefault="00C318BD">
      <w:pPr>
        <w:pStyle w:val="E"/>
        <w:spacing w:before="156" w:after="156"/>
        <w:ind w:firstLineChars="0" w:firstLine="0"/>
        <w:sectPr w:rsidR="007F5F66">
          <w:headerReference w:type="default" r:id="rId17"/>
          <w:pgSz w:w="16838" w:h="11906" w:orient="landscape"/>
          <w:pgMar w:top="567" w:right="567" w:bottom="567" w:left="567" w:header="0" w:footer="0" w:gutter="0"/>
          <w:pgNumType w:fmt="numberInDash"/>
          <w:cols w:space="425"/>
          <w:docGrid w:type="lines" w:linePitch="312"/>
        </w:sectPr>
      </w:pPr>
      <w:r>
        <w:lastRenderedPageBreak/>
        <w:pict>
          <v:shape id="图片 12" o:spid="_x0000_s1027" type="#_x0000_t75" style="position:absolute;left:0;text-align:left;margin-left:.15pt;margin-top:3.9pt;width:760.95pt;height:538.6pt;z-index:2;mso-wrap-distance-left:9pt;mso-wrap-distance-top:0;mso-wrap-distance-right:9pt;mso-wrap-distance-bottom:0;mso-width-relative:page;mso-height-relative:page">
            <v:imagedata r:id="rId18" o:title=""/>
            <w10:wrap type="square"/>
          </v:shape>
        </w:pict>
      </w:r>
    </w:p>
    <w:p w:rsidR="007F5F66" w:rsidRDefault="00C318BD">
      <w:pPr>
        <w:pStyle w:val="E"/>
        <w:spacing w:before="156" w:after="156"/>
        <w:ind w:firstLineChars="0" w:firstLine="0"/>
        <w:sectPr w:rsidR="007F5F66">
          <w:pgSz w:w="16838" w:h="11906" w:orient="landscape"/>
          <w:pgMar w:top="567" w:right="567" w:bottom="567" w:left="567" w:header="0" w:footer="0" w:gutter="0"/>
          <w:pgNumType w:fmt="numberInDash"/>
          <w:cols w:space="425"/>
          <w:docGrid w:type="lines" w:linePitch="312"/>
        </w:sectPr>
      </w:pPr>
      <w:r>
        <w:lastRenderedPageBreak/>
        <w:pict>
          <v:shape id="图片 10" o:spid="_x0000_s1028" type="#_x0000_t75" style="position:absolute;left:0;text-align:left;margin-left:-.35pt;margin-top:3.65pt;width:760.95pt;height:538.6pt;z-index:1;mso-wrap-distance-left:9pt;mso-wrap-distance-top:0;mso-wrap-distance-right:9pt;mso-wrap-distance-bottom:0;mso-width-relative:page;mso-height-relative:page">
            <v:imagedata r:id="rId19" o:title=""/>
            <w10:wrap type="square"/>
          </v:shape>
        </w:pict>
      </w:r>
    </w:p>
    <w:p w:rsidR="007F5F66" w:rsidRDefault="00C318BD">
      <w:pPr>
        <w:pStyle w:val="E"/>
        <w:spacing w:before="156" w:after="156"/>
        <w:ind w:firstLineChars="0" w:firstLine="0"/>
      </w:pPr>
      <w:r>
        <w:lastRenderedPageBreak/>
        <w:pict>
          <v:shape id="图片 4" o:spid="_x0000_s1029" type="#_x0000_t75" style="position:absolute;left:0;text-align:left;margin-left:6.25pt;margin-top:-63.05pt;width:689.2pt;height:487.7pt;z-index:3;mso-wrap-distance-left:9pt;mso-wrap-distance-top:0;mso-wrap-distance-right:9pt;mso-wrap-distance-bottom:0;mso-width-relative:page;mso-height-relative:page">
            <v:imagedata r:id="rId20" o:title=""/>
            <w10:wrap type="square"/>
          </v:shape>
        </w:pict>
      </w:r>
    </w:p>
    <w:p w:rsidR="007F5F66" w:rsidRDefault="007F5F66">
      <w:pPr>
        <w:widowControl/>
        <w:spacing w:line="640" w:lineRule="exact"/>
        <w:ind w:firstLineChars="200" w:firstLine="640"/>
        <w:rPr>
          <w:rFonts w:ascii="Times New Roman" w:eastAsia="仿宋_GB2312" w:hAnsi="Times New Roman"/>
          <w:kern w:val="0"/>
          <w:sz w:val="32"/>
          <w:szCs w:val="32"/>
        </w:rPr>
      </w:pPr>
    </w:p>
    <w:p w:rsidR="007F5F66" w:rsidRDefault="007F5F66">
      <w:pPr>
        <w:spacing w:line="560" w:lineRule="exact"/>
        <w:ind w:firstLineChars="200" w:firstLine="640"/>
        <w:rPr>
          <w:rFonts w:ascii="Times New Roman" w:eastAsia="仿宋_GB2312" w:hAnsi="Times New Roman" w:cs="Times New Roman"/>
          <w:kern w:val="0"/>
          <w:sz w:val="32"/>
          <w:szCs w:val="32"/>
        </w:rPr>
      </w:pPr>
    </w:p>
    <w:sectPr w:rsidR="007F5F66">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18BD" w:rsidRDefault="00C318BD">
      <w:r>
        <w:separator/>
      </w:r>
    </w:p>
  </w:endnote>
  <w:endnote w:type="continuationSeparator" w:id="0">
    <w:p w:rsidR="00C318BD" w:rsidRDefault="00C31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subsetted="1" w:fontKey="{470D252C-F3AF-45D2-A930-14E6A5E7DCDC}"/>
    <w:embedBold r:id="rId2" w:subsetted="1" w:fontKey="{C097AA87-9B2F-4726-8FF5-ADEF8A2D4772}"/>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69F241E9-232C-49EB-A48D-70A8AE176BDB}"/>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embedRegular r:id="rId4" w:subsetted="1" w:fontKey="{AD2227D7-B134-4CE4-9BA5-17575EC63017}"/>
    <w:embedBold r:id="rId5" w:subsetted="1" w:fontKey="{5457D2E4-E9F7-4270-98FA-313881AD1A41}"/>
  </w:font>
  <w:font w:name="方正小标宋简体">
    <w:charset w:val="86"/>
    <w:family w:val="auto"/>
    <w:pitch w:val="default"/>
    <w:sig w:usb0="00000001" w:usb1="080E0000" w:usb2="00000000" w:usb3="00000000" w:csb0="00040000" w:csb1="00000000"/>
    <w:embedRegular r:id="rId6" w:subsetted="1" w:fontKey="{1D7602D1-6350-4938-9F7E-EDA6747007EF}"/>
  </w:font>
  <w:font w:name="仿宋_GB2312">
    <w:charset w:val="86"/>
    <w:family w:val="auto"/>
    <w:pitch w:val="default"/>
    <w:sig w:usb0="00000001" w:usb1="080E0000" w:usb2="00000000" w:usb3="00000000" w:csb0="00040000" w:csb1="00000000"/>
    <w:embedRegular r:id="rId7" w:subsetted="1" w:fontKey="{C57A6E4A-B099-4680-A902-9C2FFA99C36C}"/>
  </w:font>
  <w:font w:name="楷体">
    <w:panose1 w:val="02010609060101010101"/>
    <w:charset w:val="86"/>
    <w:family w:val="modern"/>
    <w:pitch w:val="fixed"/>
    <w:sig w:usb0="800002BF" w:usb1="38CF7CFA" w:usb2="00000016" w:usb3="00000000" w:csb0="00040001" w:csb1="00000000"/>
    <w:embedRegular r:id="rId8" w:subsetted="1" w:fontKey="{3374DEFC-5521-4CA9-AA40-BFDAF482225C}"/>
  </w:font>
  <w:font w:name="华文行楷">
    <w:panose1 w:val="02010800040101010101"/>
    <w:charset w:val="86"/>
    <w:family w:val="auto"/>
    <w:pitch w:val="variable"/>
    <w:sig w:usb0="00000001" w:usb1="080F0000" w:usb2="00000010" w:usb3="00000000" w:csb0="00040000" w:csb1="00000000"/>
    <w:embedRegular r:id="rId9" w:subsetted="1" w:fontKey="{55FAF6AD-0DBB-43AD-8092-9AA4BE74FF42}"/>
  </w:font>
  <w:font w:name="Arial">
    <w:panose1 w:val="020B0604020202020204"/>
    <w:charset w:val="00"/>
    <w:family w:val="swiss"/>
    <w:pitch w:val="variable"/>
    <w:sig w:usb0="E0002AFF" w:usb1="C0007843" w:usb2="00000009" w:usb3="00000000" w:csb0="000001FF" w:csb1="00000000"/>
  </w:font>
  <w:font w:name="E-BX">
    <w:altName w:val="宋体"/>
    <w:charset w:val="86"/>
    <w:family w:val="auto"/>
    <w:pitch w:val="default"/>
    <w:sig w:usb0="00000000" w:usb1="00000000" w:usb2="00000010" w:usb3="00000000" w:csb0="00040000" w:csb1="00000000"/>
    <w:embedRegular r:id="rId10" w:fontKey="{E4968C26-53D6-4269-9E80-4B24463E14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F66" w:rsidRDefault="008F1B68">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7F5F66" w:rsidRDefault="007F5F66">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F66" w:rsidRDefault="007F5F66">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F66" w:rsidRDefault="008F1B68">
    <w:pPr>
      <w:pStyle w:val="a6"/>
      <w:jc w:val="center"/>
    </w:pPr>
    <w:r>
      <w:fldChar w:fldCharType="begin"/>
    </w:r>
    <w:r>
      <w:instrText>PAGE   \* MERGEFORMAT</w:instrText>
    </w:r>
    <w:r>
      <w:fldChar w:fldCharType="separate"/>
    </w:r>
    <w:r>
      <w:rPr>
        <w:lang w:val="zh-CN"/>
      </w:rPr>
      <w:t>-</w:t>
    </w:r>
    <w:r>
      <w:t xml:space="preserve"> 1 -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18BD" w:rsidRDefault="00C318BD">
      <w:r>
        <w:separator/>
      </w:r>
    </w:p>
  </w:footnote>
  <w:footnote w:type="continuationSeparator" w:id="0">
    <w:p w:rsidR="00C318BD" w:rsidRDefault="00C31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F66" w:rsidRDefault="008F1B68">
    <w:pPr>
      <w:pStyle w:val="a8"/>
      <w:pBdr>
        <w:bottom w:val="none" w:sz="0" w:space="0" w:color="auto"/>
      </w:pBdr>
    </w:pPr>
    <w:r>
      <w:rPr>
        <w:rFonts w:eastAsia="华文行楷" w:hint="eastAsia"/>
        <w:u w:val="single"/>
      </w:rPr>
      <w:t xml:space="preserve">                                                  </w:t>
    </w:r>
    <w:r>
      <w:rPr>
        <w:rFonts w:eastAsia="华文行楷" w:hint="eastAsia"/>
        <w:u w:val="single"/>
      </w:rPr>
      <w:t>嵊州市高标准农田建设“十四五”规划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F66" w:rsidRDefault="008F1B68">
    <w:pPr>
      <w:pStyle w:val="a8"/>
      <w:pBdr>
        <w:bottom w:val="none" w:sz="0" w:space="0" w:color="auto"/>
      </w:pBdr>
    </w:pPr>
    <w:r>
      <w:rPr>
        <w:rFonts w:eastAsia="华文行楷" w:hint="eastAsia"/>
        <w:u w:val="single"/>
      </w:rPr>
      <w:t xml:space="preserve">                                                  </w:t>
    </w:r>
    <w:r>
      <w:rPr>
        <w:rFonts w:eastAsia="华文行楷" w:hint="eastAsia"/>
        <w:u w:val="single"/>
      </w:rPr>
      <w:t>嵊州市高标准农田建设“十四五”规划</w:t>
    </w:r>
  </w:p>
  <w:p w:rsidR="007F5F66" w:rsidRDefault="007F5F6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F66" w:rsidRDefault="007F5F6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NDI4N2ExNzgyZjFlOTMzOTM5OTA5OTgwNDkwZGUwNDYifQ=="/>
  </w:docVars>
  <w:rsids>
    <w:rsidRoot w:val="007F5F66"/>
    <w:rsid w:val="00701B8A"/>
    <w:rsid w:val="007F5F66"/>
    <w:rsid w:val="008F1B68"/>
    <w:rsid w:val="00AD3B94"/>
    <w:rsid w:val="00C318BD"/>
    <w:rsid w:val="01137342"/>
    <w:rsid w:val="022F71CF"/>
    <w:rsid w:val="046D3587"/>
    <w:rsid w:val="05631E12"/>
    <w:rsid w:val="070A6FCE"/>
    <w:rsid w:val="0F5D296A"/>
    <w:rsid w:val="123D7FEE"/>
    <w:rsid w:val="17EC173A"/>
    <w:rsid w:val="1B6034CD"/>
    <w:rsid w:val="1BC94090"/>
    <w:rsid w:val="263B568B"/>
    <w:rsid w:val="27A113C7"/>
    <w:rsid w:val="2CA06D1A"/>
    <w:rsid w:val="3B49155B"/>
    <w:rsid w:val="464273A5"/>
    <w:rsid w:val="488677BB"/>
    <w:rsid w:val="4976255E"/>
    <w:rsid w:val="4B8C08D1"/>
    <w:rsid w:val="4D462064"/>
    <w:rsid w:val="58A6517E"/>
    <w:rsid w:val="5C463490"/>
    <w:rsid w:val="5D4143BE"/>
    <w:rsid w:val="63F53550"/>
    <w:rsid w:val="64914BAC"/>
    <w:rsid w:val="67DD4B2A"/>
    <w:rsid w:val="695E154C"/>
    <w:rsid w:val="69A70D09"/>
    <w:rsid w:val="6C907051"/>
    <w:rsid w:val="6CA055AC"/>
    <w:rsid w:val="6D3347D0"/>
    <w:rsid w:val="70814BED"/>
    <w:rsid w:val="74CF7FF5"/>
    <w:rsid w:val="76F84737"/>
    <w:rsid w:val="7A07243F"/>
    <w:rsid w:val="7A3C407F"/>
    <w:rsid w:val="7D416642"/>
    <w:rsid w:val="7EC50DCA"/>
    <w:rsid w:val="7F091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fillcolor="white">
      <v:fill color="white"/>
    </o:shapedefaults>
    <o:shapelayout v:ext="edit">
      <o:idmap v:ext="edit" data="1"/>
    </o:shapelayout>
  </w:shapeDefaults>
  <w:decimalSymbol w:val="."/>
  <w:listSeparator w:val=","/>
  <w14:docId w14:val="6835A9E8"/>
  <w15:docId w15:val="{4A66B1F8-ABF0-48F6-8779-7641C3672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黑体"/>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5" w:lineRule="auto"/>
      <w:outlineLvl w:val="1"/>
    </w:pPr>
    <w:rPr>
      <w:rFonts w:ascii="Cambria" w:hAnsi="Cambria" w:cs="Times New Roman"/>
      <w:b/>
      <w:bCs/>
      <w:sz w:val="32"/>
      <w:szCs w:val="32"/>
    </w:rPr>
  </w:style>
  <w:style w:type="paragraph" w:styleId="3">
    <w:name w:val="heading 3"/>
    <w:basedOn w:val="a"/>
    <w:next w:val="a"/>
    <w:link w:val="30"/>
    <w:semiHidden/>
    <w:unhideWhenUsed/>
    <w:qFormat/>
    <w:pPr>
      <w:keepNext/>
      <w:keepLines/>
      <w:spacing w:before="260" w:after="260" w:line="416" w:lineRule="auto"/>
      <w:outlineLvl w:val="2"/>
    </w:pPr>
    <w:rPr>
      <w:rFonts w:ascii="Times New Roman" w:hAnsi="Times New Roman" w:cs="Times New Roman"/>
      <w:b/>
      <w:bCs/>
      <w:kern w:val="0"/>
      <w:sz w:val="32"/>
      <w:szCs w:val="32"/>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Cambria" w:hAnsi="Cambria"/>
      <w:b/>
      <w:bCs/>
      <w:kern w:val="0"/>
      <w:sz w:val="24"/>
      <w:szCs w:val="24"/>
    </w:rPr>
  </w:style>
  <w:style w:type="paragraph" w:styleId="7">
    <w:name w:val="heading 7"/>
    <w:basedOn w:val="a"/>
    <w:next w:val="a"/>
    <w:link w:val="70"/>
    <w:uiPriority w:val="9"/>
    <w:semiHidden/>
    <w:unhideWhenUsed/>
    <w:qFormat/>
    <w:pPr>
      <w:keepNext/>
      <w:keepLines/>
      <w:spacing w:before="240" w:after="64" w:line="320" w:lineRule="auto"/>
      <w:outlineLvl w:val="6"/>
    </w:pPr>
    <w:rPr>
      <w:rFonts w:ascii="Times New Roman" w:hAnsi="Times New Roman" w:cs="Times New Roman"/>
      <w:b/>
      <w:bCs/>
      <w:kern w:val="0"/>
      <w:sz w:val="24"/>
      <w:szCs w:val="24"/>
    </w:rPr>
  </w:style>
  <w:style w:type="paragraph" w:styleId="8">
    <w:name w:val="heading 8"/>
    <w:basedOn w:val="a"/>
    <w:next w:val="a"/>
    <w:link w:val="80"/>
    <w:uiPriority w:val="9"/>
    <w:semiHidden/>
    <w:unhideWhenUsed/>
    <w:qFormat/>
    <w:pPr>
      <w:keepNext/>
      <w:keepLines/>
      <w:spacing w:before="240" w:after="64" w:line="320" w:lineRule="auto"/>
      <w:outlineLvl w:val="7"/>
    </w:pPr>
    <w:rPr>
      <w:rFonts w:ascii="Cambria" w:hAnsi="Cambria"/>
      <w:kern w:val="0"/>
      <w:sz w:val="24"/>
      <w:szCs w:val="24"/>
    </w:rPr>
  </w:style>
  <w:style w:type="paragraph" w:styleId="9">
    <w:name w:val="heading 9"/>
    <w:basedOn w:val="a"/>
    <w:next w:val="a"/>
    <w:link w:val="90"/>
    <w:uiPriority w:val="9"/>
    <w:semiHidden/>
    <w:unhideWhenUsed/>
    <w:qFormat/>
    <w:pPr>
      <w:keepNext/>
      <w:keepLines/>
      <w:spacing w:before="240" w:after="64" w:line="320" w:lineRule="auto"/>
      <w:outlineLvl w:val="8"/>
    </w:pPr>
    <w:rPr>
      <w:rFonts w:ascii="Cambria" w:hAnsi="Cambria"/>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pPr>
      <w:spacing w:beforeLines="50" w:afterLines="50" w:line="300" w:lineRule="auto"/>
      <w:jc w:val="center"/>
    </w:pPr>
    <w:rPr>
      <w:rFonts w:ascii="Cambria" w:eastAsia="黑体" w:hAnsi="Cambria"/>
      <w:sz w:val="20"/>
      <w:szCs w:val="20"/>
    </w:rPr>
  </w:style>
  <w:style w:type="paragraph" w:styleId="TOC3">
    <w:name w:val="toc 3"/>
    <w:basedOn w:val="a"/>
    <w:next w:val="a"/>
    <w:uiPriority w:val="39"/>
    <w:unhideWhenUsed/>
    <w:qFormat/>
    <w:pPr>
      <w:ind w:leftChars="400" w:left="840"/>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unhideWhenUsed/>
    <w:qFormat/>
    <w:pPr>
      <w:ind w:leftChars="200" w:left="420"/>
    </w:pPr>
  </w:style>
  <w:style w:type="paragraph" w:styleId="aa">
    <w:name w:val="Normal (Web)"/>
    <w:basedOn w:val="a"/>
    <w:qFormat/>
    <w:pPr>
      <w:spacing w:beforeAutospacing="1" w:afterAutospacing="1"/>
      <w:jc w:val="left"/>
    </w:pPr>
    <w:rPr>
      <w:rFonts w:cs="Times New Roman"/>
      <w:kern w:val="0"/>
      <w:sz w:val="24"/>
      <w:szCs w:val="24"/>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qFormat/>
  </w:style>
  <w:style w:type="character" w:styleId="ad">
    <w:name w:val="Hyperlink"/>
    <w:uiPriority w:val="99"/>
    <w:unhideWhenUsed/>
    <w:qFormat/>
    <w:rPr>
      <w:color w:val="0000FF"/>
      <w:u w:val="single"/>
    </w:rPr>
  </w:style>
  <w:style w:type="paragraph" w:customStyle="1" w:styleId="11">
    <w:name w:val="列表段落1"/>
    <w:basedOn w:val="a"/>
    <w:uiPriority w:val="34"/>
    <w:qFormat/>
    <w:pPr>
      <w:ind w:firstLineChars="200" w:firstLine="420"/>
    </w:pPr>
  </w:style>
  <w:style w:type="paragraph" w:customStyle="1" w:styleId="Ae">
    <w:name w:val="A部分"/>
    <w:basedOn w:val="a"/>
    <w:qFormat/>
    <w:pPr>
      <w:spacing w:beforeLines="250" w:afterLines="250" w:line="360" w:lineRule="auto"/>
      <w:outlineLvl w:val="0"/>
    </w:pPr>
    <w:rPr>
      <w:rFonts w:ascii="Times New Roman" w:eastAsia="黑体" w:hAnsi="Times New Roman"/>
      <w:sz w:val="44"/>
      <w:szCs w:val="21"/>
    </w:rPr>
  </w:style>
  <w:style w:type="paragraph" w:customStyle="1" w:styleId="B">
    <w:name w:val="B章"/>
    <w:basedOn w:val="Ae"/>
    <w:qFormat/>
    <w:pPr>
      <w:spacing w:beforeLines="150" w:afterLines="150"/>
      <w:outlineLvl w:val="1"/>
    </w:pPr>
    <w:rPr>
      <w:sz w:val="36"/>
    </w:rPr>
  </w:style>
  <w:style w:type="paragraph" w:customStyle="1" w:styleId="C">
    <w:name w:val="C节"/>
    <w:basedOn w:val="a"/>
    <w:qFormat/>
    <w:pPr>
      <w:spacing w:line="360" w:lineRule="auto"/>
      <w:outlineLvl w:val="2"/>
    </w:pPr>
    <w:rPr>
      <w:rFonts w:ascii="Times New Roman" w:eastAsia="黑体" w:hAnsi="Times New Roman"/>
      <w:sz w:val="32"/>
      <w:szCs w:val="21"/>
    </w:rPr>
  </w:style>
  <w:style w:type="paragraph" w:customStyle="1" w:styleId="E">
    <w:name w:val="E文本"/>
    <w:basedOn w:val="a"/>
    <w:link w:val="EChar"/>
    <w:qFormat/>
    <w:pPr>
      <w:spacing w:beforeLines="50" w:afterLines="50" w:line="360" w:lineRule="auto"/>
      <w:ind w:firstLineChars="200" w:firstLine="200"/>
    </w:pPr>
    <w:rPr>
      <w:rFonts w:ascii="Times New Roman" w:eastAsia="仿宋" w:hAnsi="Times New Roman"/>
      <w:iCs/>
      <w:color w:val="000000"/>
      <w:sz w:val="28"/>
      <w:szCs w:val="21"/>
    </w:rPr>
  </w:style>
  <w:style w:type="paragraph" w:customStyle="1" w:styleId="D">
    <w:name w:val="D次节"/>
    <w:basedOn w:val="E"/>
    <w:link w:val="DChar"/>
    <w:qFormat/>
    <w:pPr>
      <w:outlineLvl w:val="3"/>
    </w:pPr>
    <w:rPr>
      <w:rFonts w:eastAsia="宋体"/>
      <w:b/>
    </w:rPr>
  </w:style>
  <w:style w:type="paragraph" w:customStyle="1" w:styleId="F1">
    <w:name w:val="F1表头"/>
    <w:basedOn w:val="a"/>
    <w:qFormat/>
    <w:pPr>
      <w:spacing w:beforeLines="100" w:afterLines="50" w:line="360" w:lineRule="auto"/>
      <w:jc w:val="center"/>
    </w:pPr>
    <w:rPr>
      <w:rFonts w:ascii="Times New Roman" w:eastAsia="黑体" w:hAnsi="Times New Roman"/>
      <w:szCs w:val="21"/>
    </w:rPr>
  </w:style>
  <w:style w:type="paragraph" w:customStyle="1" w:styleId="G">
    <w:name w:val="G图号"/>
    <w:basedOn w:val="a"/>
    <w:qFormat/>
    <w:pPr>
      <w:spacing w:beforeLines="50" w:afterLines="100" w:line="360" w:lineRule="auto"/>
      <w:jc w:val="center"/>
    </w:pPr>
    <w:rPr>
      <w:rFonts w:ascii="Times New Roman" w:eastAsia="黑体" w:hAnsi="Times New Roman"/>
      <w:szCs w:val="21"/>
    </w:rPr>
  </w:style>
  <w:style w:type="paragraph" w:customStyle="1" w:styleId="H">
    <w:name w:val="H内插章"/>
    <w:basedOn w:val="E"/>
    <w:qFormat/>
    <w:pPr>
      <w:spacing w:beforeLines="150" w:afterLines="150" w:line="480" w:lineRule="auto"/>
    </w:pPr>
    <w:rPr>
      <w:sz w:val="32"/>
    </w:rPr>
  </w:style>
  <w:style w:type="paragraph" w:customStyle="1" w:styleId="I">
    <w:name w:val="I内插节"/>
    <w:basedOn w:val="H"/>
    <w:qFormat/>
    <w:pPr>
      <w:spacing w:beforeLines="50" w:afterLines="50" w:line="360" w:lineRule="auto"/>
    </w:pPr>
    <w:rPr>
      <w:sz w:val="28"/>
    </w:rPr>
  </w:style>
  <w:style w:type="paragraph" w:customStyle="1" w:styleId="F2">
    <w:name w:val="F2大表头"/>
    <w:basedOn w:val="D"/>
    <w:qFormat/>
    <w:pPr>
      <w:spacing w:before="50" w:after="50"/>
      <w:ind w:firstLineChars="0" w:firstLine="0"/>
      <w:jc w:val="center"/>
      <w:outlineLvl w:val="9"/>
    </w:pPr>
    <w:rPr>
      <w:rFonts w:eastAsia="仿宋"/>
    </w:rPr>
  </w:style>
  <w:style w:type="paragraph" w:customStyle="1" w:styleId="TOC1">
    <w:name w:val="TOC 标题1"/>
    <w:basedOn w:val="1"/>
    <w:next w:val="a"/>
    <w:uiPriority w:val="39"/>
    <w:semiHidden/>
    <w:unhideWhenUsed/>
    <w:qFormat/>
    <w:pPr>
      <w:outlineLvl w:val="9"/>
    </w:pPr>
  </w:style>
  <w:style w:type="character" w:customStyle="1" w:styleId="a9">
    <w:name w:val="页眉 字符"/>
    <w:link w:val="a8"/>
    <w:uiPriority w:val="99"/>
    <w:qFormat/>
    <w:rPr>
      <w:sz w:val="18"/>
      <w:szCs w:val="18"/>
    </w:rPr>
  </w:style>
  <w:style w:type="character" w:customStyle="1" w:styleId="a7">
    <w:name w:val="页脚 字符"/>
    <w:link w:val="a6"/>
    <w:uiPriority w:val="99"/>
    <w:qFormat/>
    <w:rPr>
      <w:sz w:val="18"/>
      <w:szCs w:val="18"/>
    </w:rPr>
  </w:style>
  <w:style w:type="character" w:customStyle="1" w:styleId="10">
    <w:name w:val="标题 1 字符"/>
    <w:link w:val="1"/>
    <w:uiPriority w:val="9"/>
    <w:qFormat/>
    <w:rPr>
      <w:rFonts w:ascii="Calibri" w:eastAsia="宋体" w:hAnsi="Calibri" w:cs="黑体"/>
      <w:b/>
      <w:bCs/>
      <w:kern w:val="44"/>
      <w:sz w:val="44"/>
      <w:szCs w:val="44"/>
    </w:rPr>
  </w:style>
  <w:style w:type="character" w:customStyle="1" w:styleId="30">
    <w:name w:val="标题 3 字符"/>
    <w:link w:val="3"/>
    <w:semiHidden/>
    <w:qFormat/>
    <w:rPr>
      <w:b/>
      <w:bCs/>
      <w:sz w:val="32"/>
      <w:szCs w:val="32"/>
    </w:rPr>
  </w:style>
  <w:style w:type="character" w:customStyle="1" w:styleId="60">
    <w:name w:val="标题 6 字符"/>
    <w:link w:val="6"/>
    <w:uiPriority w:val="9"/>
    <w:semiHidden/>
    <w:qFormat/>
    <w:rPr>
      <w:rFonts w:ascii="Cambria" w:hAnsi="Cambria" w:cs="黑体"/>
      <w:b/>
      <w:bCs/>
      <w:sz w:val="24"/>
      <w:szCs w:val="24"/>
    </w:rPr>
  </w:style>
  <w:style w:type="character" w:customStyle="1" w:styleId="70">
    <w:name w:val="标题 7 字符"/>
    <w:link w:val="7"/>
    <w:uiPriority w:val="9"/>
    <w:semiHidden/>
    <w:qFormat/>
    <w:rPr>
      <w:b/>
      <w:bCs/>
      <w:sz w:val="24"/>
      <w:szCs w:val="24"/>
    </w:rPr>
  </w:style>
  <w:style w:type="character" w:customStyle="1" w:styleId="80">
    <w:name w:val="标题 8 字符"/>
    <w:link w:val="8"/>
    <w:uiPriority w:val="9"/>
    <w:semiHidden/>
    <w:qFormat/>
    <w:rPr>
      <w:rFonts w:ascii="Cambria" w:hAnsi="Cambria" w:cs="黑体"/>
      <w:sz w:val="24"/>
      <w:szCs w:val="24"/>
    </w:rPr>
  </w:style>
  <w:style w:type="character" w:customStyle="1" w:styleId="90">
    <w:name w:val="标题 9 字符"/>
    <w:link w:val="9"/>
    <w:uiPriority w:val="9"/>
    <w:semiHidden/>
    <w:qFormat/>
    <w:rPr>
      <w:rFonts w:ascii="Cambria" w:hAnsi="Cambria" w:cs="黑体"/>
    </w:rPr>
  </w:style>
  <w:style w:type="character" w:customStyle="1" w:styleId="EChar">
    <w:name w:val="E文本 Char"/>
    <w:link w:val="E"/>
    <w:qFormat/>
    <w:locked/>
    <w:rPr>
      <w:rFonts w:eastAsia="仿宋" w:cs="黑体"/>
      <w:iCs/>
      <w:color w:val="000000"/>
      <w:kern w:val="2"/>
      <w:sz w:val="28"/>
      <w:szCs w:val="21"/>
    </w:rPr>
  </w:style>
  <w:style w:type="character" w:customStyle="1" w:styleId="DChar">
    <w:name w:val="D次节 Char"/>
    <w:link w:val="D"/>
    <w:qFormat/>
    <w:rPr>
      <w:rFonts w:cs="黑体"/>
      <w:b/>
      <w:iCs/>
      <w:color w:val="000000"/>
      <w:kern w:val="2"/>
      <w:sz w:val="28"/>
      <w:szCs w:val="21"/>
    </w:rPr>
  </w:style>
  <w:style w:type="character" w:customStyle="1" w:styleId="a5">
    <w:name w:val="批注框文本 字符"/>
    <w:link w:val="a4"/>
    <w:uiPriority w:val="99"/>
    <w:semiHidden/>
    <w:qFormat/>
    <w:rPr>
      <w:rFonts w:ascii="Calibri" w:eastAsia="宋体" w:hAnsi="Calibri" w:cs="黑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baike.baidu.com/item/%E6%9B%B9%E5%A8%A5%E6%B1%9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baike.baidu.com/item/%E6%B5%A6%E9%98%B3%E6%B1%9F" TargetMode="Externa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1</Pages>
  <Words>4049</Words>
  <Characters>23081</Characters>
  <Application>Microsoft Office Word</Application>
  <DocSecurity>0</DocSecurity>
  <Lines>192</Lines>
  <Paragraphs>54</Paragraphs>
  <ScaleCrop>false</ScaleCrop>
  <Company>HP Inc.</Company>
  <LinksUpToDate>false</LinksUpToDate>
  <CharactersWithSpaces>27076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关于开展嵊州市“十二五”以来高标准农田建设评估工作的通知</dc:title>
  <dc:creator>hp</dc:creator>
  <cp:lastModifiedBy>陈涛</cp:lastModifiedBy>
  <cp:revision>4</cp:revision>
  <cp:lastPrinted>2019-12-02T02:48:00Z</cp:lastPrinted>
  <dcterms:created xsi:type="dcterms:W3CDTF">2019-11-20T06:14:00Z</dcterms:created>
  <dcterms:modified xsi:type="dcterms:W3CDTF">2022-04-29T00:54:00Z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17A1DDB59F144B1CBFBA56C64530AAB2</vt:lpwstr>
  </property>
</Properties>
</file>