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r>
        <w:rPr>
          <w:rFonts w:hint="eastAsia"/>
          <w:lang w:val="en-US" w:eastAsia="zh-CN"/>
        </w:rPr>
        <w:t>2020年</w:t>
      </w:r>
      <w:r>
        <w:rPr>
          <w:rFonts w:hint="eastAsia"/>
        </w:rPr>
        <w:t>嵊州市文化广电旅游局</w:t>
      </w:r>
      <w:r>
        <w:rPr>
          <w:rFonts w:hint="eastAsia"/>
          <w:lang w:eastAsia="zh-CN"/>
        </w:rPr>
        <w:t>政府</w:t>
      </w:r>
      <w:r>
        <w:rPr>
          <w:rFonts w:hint="eastAsia"/>
        </w:rPr>
        <w:t>信息公开工作年度报告</w:t>
      </w:r>
    </w:p>
    <w:bookmarkEnd w:id="0"/>
    <w:p>
      <w:pPr>
        <w:pStyle w:val="5"/>
        <w:shd w:val="clear" w:color="auto" w:fill="FFFFFF"/>
        <w:spacing w:before="0" w:beforeAutospacing="0" w:after="0" w:afterAutospacing="0" w:line="360" w:lineRule="atLeast"/>
        <w:jc w:val="both"/>
        <w:rPr>
          <w:rStyle w:val="9"/>
          <w:rFonts w:ascii="Arial" w:hAnsi="Arial" w:cs="Arial"/>
          <w:color w:val="333333"/>
        </w:rPr>
      </w:pPr>
    </w:p>
    <w:p>
      <w:pPr>
        <w:pStyle w:val="5"/>
        <w:shd w:val="clear" w:color="auto" w:fill="FFFFFF"/>
        <w:spacing w:before="0" w:beforeAutospacing="0" w:after="0" w:afterAutospacing="0" w:line="360" w:lineRule="atLeast"/>
        <w:jc w:val="both"/>
        <w:rPr>
          <w:rStyle w:val="9"/>
          <w:rFonts w:ascii="Arial" w:hAnsi="Arial" w:cs="Arial"/>
          <w:color w:val="333333"/>
        </w:rPr>
      </w:pPr>
    </w:p>
    <w:p>
      <w:pPr>
        <w:pStyle w:val="5"/>
        <w:shd w:val="clear" w:color="auto" w:fill="FFFFFF"/>
        <w:spacing w:before="0" w:beforeAutospacing="0" w:after="0" w:afterAutospacing="0" w:line="360" w:lineRule="atLeast"/>
        <w:jc w:val="both"/>
        <w:rPr>
          <w:rFonts w:ascii="黑体" w:hAnsi="黑体" w:eastAsia="黑体" w:cs="Arial"/>
          <w:color w:val="333333"/>
          <w:sz w:val="32"/>
          <w:szCs w:val="32"/>
        </w:rPr>
      </w:pPr>
      <w:r>
        <w:rPr>
          <w:rStyle w:val="9"/>
          <w:rFonts w:ascii="黑体" w:hAnsi="黑体" w:eastAsia="黑体" w:cs="Arial"/>
          <w:color w:val="333333"/>
          <w:sz w:val="32"/>
          <w:szCs w:val="32"/>
        </w:rPr>
        <w:t>一、总体情况</w:t>
      </w:r>
      <w:r>
        <w:rPr>
          <w:rFonts w:hint="eastAsia" w:ascii="黑体" w:hAnsi="黑体" w:eastAsia="黑体" w:cs="Arial"/>
          <w:color w:val="333333"/>
          <w:sz w:val="32"/>
          <w:szCs w:val="32"/>
        </w:rPr>
        <w:t xml:space="preserve"> </w:t>
      </w:r>
    </w:p>
    <w:p>
      <w:pPr>
        <w:pStyle w:val="5"/>
        <w:shd w:val="clear" w:color="auto" w:fill="FFFFFF"/>
        <w:spacing w:before="0" w:beforeAutospacing="0" w:after="0" w:afterAutospacing="0" w:line="360" w:lineRule="atLeas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2020年，在嵊州市委、市政府的坚强领导下，我局紧扣全市文化广电和旅游重点工作，严格落实《中华人民共和国政府信息公开条例》，借力“互联网+政务服务”，及时、准确公开各类政府信息，推动文化广电旅游政务公开工作取得实效。</w:t>
      </w:r>
    </w:p>
    <w:p>
      <w:pPr>
        <w:pStyle w:val="5"/>
        <w:shd w:val="clear" w:color="auto" w:fill="FFFFFF"/>
        <w:spacing w:before="0" w:beforeAutospacing="0" w:after="0" w:afterAutospacing="0" w:line="360" w:lineRule="atLeas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高度重视，强化组织领导。政务信息公开工作涉及面广、专业性强，实效性要求高，我局高度重视政府信息公开工作，成立政务公开工作领导小组，形成了主要领导亲自抓、分管领导具体抓的工作机制，由局办公室主任担任小组办公室主任，明确工作人员具体负责全局政府信息公开的集中推进和日常管理工作。</w:t>
      </w:r>
    </w:p>
    <w:p>
      <w:pPr>
        <w:pStyle w:val="5"/>
        <w:shd w:val="clear" w:color="auto" w:fill="FFFFFF"/>
        <w:spacing w:before="0" w:beforeAutospacing="0" w:after="0" w:afterAutospacing="0" w:line="360" w:lineRule="atLeas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及时准确，主动公开信息。切实按照《中华人民共和国政府信息公开条例》规定，健全工作机制，完善工作流程，配强工作力量，进一步明确政务信息公开的范围、内容和形式等，主动公开法定公开内容，及时公开政策法规、规划计划、通知公告等内容，更新三定方案、领导班子成员分工调整等人事信息，全力推动政务公开相关工作落细落实，做到公开为常态、不公开为例外，及时、主动、准确公开政府信息。</w:t>
      </w:r>
    </w:p>
    <w:p>
      <w:pPr>
        <w:pStyle w:val="5"/>
        <w:shd w:val="clear" w:color="auto" w:fill="FFFFFF"/>
        <w:spacing w:before="0" w:beforeAutospacing="0" w:after="0" w:afterAutospacing="0" w:line="360" w:lineRule="atLeas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畅通渠道，加强互动监督。高度重视市政府对政务公开工作情况的监督检查和评价考核，综合检查、考评政务信息公开工作，切实做到政务公开标准化、规范化、制度化、常态化。充分依托政府门户网站，主动推进社会公众对文化广电旅游工作的了解和监督。</w:t>
      </w:r>
    </w:p>
    <w:p>
      <w:pPr>
        <w:rPr>
          <w:rFonts w:hint="eastAsia" w:ascii="黑体" w:hAnsi="黑体" w:eastAsia="黑体" w:cs="Arial"/>
          <w:color w:val="333333"/>
          <w:sz w:val="32"/>
          <w:szCs w:val="32"/>
          <w:shd w:val="clear" w:color="auto" w:fill="FFFFFF"/>
        </w:rPr>
      </w:pPr>
    </w:p>
    <w:p>
      <w:pPr>
        <w:numPr>
          <w:ilvl w:val="0"/>
          <w:numId w:val="1"/>
        </w:numPr>
        <w:rPr>
          <w:rFonts w:hint="eastAsia" w:ascii="黑体" w:hAnsi="黑体" w:eastAsia="黑体" w:cs="Arial"/>
          <w:color w:val="333333"/>
          <w:sz w:val="32"/>
          <w:szCs w:val="32"/>
          <w:shd w:val="clear" w:color="auto" w:fill="FFFFFF"/>
        </w:rPr>
      </w:pPr>
      <w:r>
        <w:rPr>
          <w:rFonts w:hint="eastAsia" w:ascii="黑体" w:hAnsi="黑体" w:eastAsia="黑体" w:cs="Arial"/>
          <w:color w:val="333333"/>
          <w:sz w:val="32"/>
          <w:szCs w:val="32"/>
          <w:shd w:val="clear" w:color="auto" w:fill="FFFFFF"/>
        </w:rPr>
        <w:t>主动公开政府信息情况</w:t>
      </w:r>
    </w:p>
    <w:p>
      <w:pPr>
        <w:numPr>
          <w:ilvl w:val="0"/>
          <w:numId w:val="0"/>
        </w:numPr>
        <w:rPr>
          <w:rFonts w:hint="eastAsia" w:ascii="黑体" w:hAnsi="黑体" w:eastAsia="黑体" w:cs="Arial"/>
          <w:color w:val="333333"/>
          <w:sz w:val="32"/>
          <w:szCs w:val="32"/>
          <w:shd w:val="clear" w:color="auto" w:fill="FFFFFF"/>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2647"/>
        <w:gridCol w:w="1518"/>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296" w:type="dxa"/>
            <w:gridSpan w:val="4"/>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信息内容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本年（2020）新制作数量</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公开数量</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对外公开总数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规章</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规范性文件</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8296" w:type="dxa"/>
            <w:gridSpan w:val="4"/>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1"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信息内容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上一年（2019）项目数量</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本年增/减</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行政许可</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15</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增6</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其他对外管理服务事项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296" w:type="dxa"/>
            <w:gridSpan w:val="4"/>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信息内容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上一年（2019）项目数量</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本年增/减</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行政处罚</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行政强制</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51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17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296" w:type="dxa"/>
            <w:gridSpan w:val="4"/>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信息内容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上一年（2019）项目数量</w:t>
            </w:r>
          </w:p>
        </w:tc>
        <w:tc>
          <w:tcPr>
            <w:tcW w:w="3237" w:type="dxa"/>
            <w:gridSpan w:val="2"/>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行政事业性收费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c>
          <w:tcPr>
            <w:tcW w:w="3237" w:type="dxa"/>
            <w:gridSpan w:val="2"/>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296" w:type="dxa"/>
            <w:gridSpan w:val="4"/>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信息内容</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采购项目数量</w:t>
            </w:r>
          </w:p>
        </w:tc>
        <w:tc>
          <w:tcPr>
            <w:tcW w:w="3237" w:type="dxa"/>
            <w:gridSpan w:val="2"/>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采购总金额(单位：万元)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1" w:hRule="atLeast"/>
        </w:trPr>
        <w:tc>
          <w:tcPr>
            <w:tcW w:w="241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政府集中采购</w:t>
            </w:r>
          </w:p>
        </w:tc>
        <w:tc>
          <w:tcPr>
            <w:tcW w:w="264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2</w:t>
            </w:r>
          </w:p>
        </w:tc>
        <w:tc>
          <w:tcPr>
            <w:tcW w:w="3237" w:type="dxa"/>
            <w:gridSpan w:val="2"/>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285.3</w:t>
            </w:r>
          </w:p>
        </w:tc>
      </w:tr>
    </w:tbl>
    <w:p>
      <w:pPr>
        <w:rPr>
          <w:rFonts w:ascii="Arial" w:hAnsi="Arial" w:cs="Arial"/>
          <w:color w:val="333333"/>
          <w:shd w:val="clear" w:color="auto" w:fill="FFFFFF"/>
        </w:rPr>
      </w:pPr>
    </w:p>
    <w:p>
      <w:pPr>
        <w:rPr>
          <w:rFonts w:ascii="Arial" w:hAnsi="Arial" w:cs="Arial"/>
          <w:color w:val="333333"/>
          <w:shd w:val="clear" w:color="auto" w:fill="FFFFFF"/>
        </w:rPr>
      </w:pPr>
    </w:p>
    <w:p>
      <w:pPr>
        <w:numPr>
          <w:ilvl w:val="0"/>
          <w:numId w:val="1"/>
        </w:numPr>
        <w:rPr>
          <w:rFonts w:hint="eastAsia" w:ascii="黑体" w:hAnsi="黑体" w:eastAsia="黑体" w:cs="Arial"/>
          <w:color w:val="333333"/>
          <w:sz w:val="32"/>
          <w:szCs w:val="32"/>
          <w:shd w:val="clear" w:color="auto" w:fill="FFFFFF"/>
        </w:rPr>
      </w:pPr>
      <w:r>
        <w:rPr>
          <w:rFonts w:hint="eastAsia" w:ascii="黑体" w:hAnsi="黑体" w:eastAsia="黑体" w:cs="Arial"/>
          <w:color w:val="333333"/>
          <w:sz w:val="32"/>
          <w:szCs w:val="32"/>
          <w:shd w:val="clear" w:color="auto" w:fill="FFFFFF"/>
        </w:rPr>
        <w:t>收到和处理政府信息公开申请情况</w:t>
      </w:r>
    </w:p>
    <w:p>
      <w:pPr>
        <w:numPr>
          <w:ilvl w:val="0"/>
          <w:numId w:val="0"/>
        </w:numPr>
        <w:rPr>
          <w:rFonts w:hint="eastAsia" w:ascii="黑体" w:hAnsi="黑体" w:eastAsia="黑体" w:cs="Arial"/>
          <w:color w:val="333333"/>
          <w:sz w:val="32"/>
          <w:szCs w:val="32"/>
          <w:shd w:val="clear" w:color="auto" w:fill="FFFFFF"/>
        </w:rPr>
      </w:pPr>
    </w:p>
    <w:tbl>
      <w:tblPr>
        <w:tblStyle w:val="8"/>
        <w:tblW w:w="7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823"/>
        <w:gridCol w:w="2371"/>
        <w:gridCol w:w="598"/>
        <w:gridCol w:w="531"/>
        <w:gridCol w:w="477"/>
        <w:gridCol w:w="494"/>
        <w:gridCol w:w="547"/>
        <w:gridCol w:w="592"/>
        <w:gridCol w:w="3"/>
        <w:gridCol w:w="821"/>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60" w:hRule="atLeast"/>
        </w:trPr>
        <w:tc>
          <w:tcPr>
            <w:tcW w:w="3829" w:type="dxa"/>
            <w:gridSpan w:val="3"/>
            <w:vMerge w:val="restart"/>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（本列数据的勾稽关系为：第一项加第二项之和，等于第三项加第四项之和）</w:t>
            </w:r>
          </w:p>
        </w:tc>
        <w:tc>
          <w:tcPr>
            <w:tcW w:w="4063" w:type="dxa"/>
            <w:gridSpan w:val="8"/>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40" w:hRule="atLeast"/>
        </w:trPr>
        <w:tc>
          <w:tcPr>
            <w:tcW w:w="3829" w:type="dxa"/>
            <w:gridSpan w:val="3"/>
            <w:vMerge w:val="continue"/>
          </w:tcPr>
          <w:p>
            <w:pPr>
              <w:jc w:val="center"/>
              <w:rPr>
                <w:rFonts w:hint="eastAsia" w:ascii="宋体" w:hAnsi="宋体" w:eastAsia="宋体" w:cs="宋体"/>
                <w:color w:val="333333"/>
                <w:sz w:val="21"/>
                <w:szCs w:val="21"/>
                <w:shd w:val="clear" w:color="auto" w:fill="FFFFFF"/>
              </w:rPr>
            </w:pPr>
          </w:p>
        </w:tc>
        <w:tc>
          <w:tcPr>
            <w:tcW w:w="598" w:type="dxa"/>
            <w:vMerge w:val="restart"/>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自然人</w:t>
            </w:r>
          </w:p>
        </w:tc>
        <w:tc>
          <w:tcPr>
            <w:tcW w:w="2641" w:type="dxa"/>
            <w:gridSpan w:val="5"/>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法人或其他组织</w:t>
            </w:r>
          </w:p>
        </w:tc>
        <w:tc>
          <w:tcPr>
            <w:tcW w:w="824" w:type="dxa"/>
            <w:gridSpan w:val="2"/>
            <w:vMerge w:val="restart"/>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1403" w:hRule="atLeast"/>
        </w:trPr>
        <w:tc>
          <w:tcPr>
            <w:tcW w:w="3829" w:type="dxa"/>
            <w:gridSpan w:val="3"/>
            <w:vMerge w:val="continue"/>
          </w:tcPr>
          <w:p>
            <w:pPr>
              <w:jc w:val="center"/>
              <w:rPr>
                <w:rFonts w:hint="eastAsia" w:ascii="宋体" w:hAnsi="宋体" w:eastAsia="宋体" w:cs="宋体"/>
                <w:color w:val="333333"/>
                <w:sz w:val="21"/>
                <w:szCs w:val="21"/>
                <w:shd w:val="clear" w:color="auto" w:fill="FFFFFF"/>
              </w:rPr>
            </w:pPr>
          </w:p>
        </w:tc>
        <w:tc>
          <w:tcPr>
            <w:tcW w:w="598" w:type="dxa"/>
            <w:vMerge w:val="continue"/>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商业企业</w:t>
            </w:r>
          </w:p>
        </w:tc>
        <w:tc>
          <w:tcPr>
            <w:tcW w:w="477" w:type="dxa"/>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科研机构</w:t>
            </w:r>
          </w:p>
        </w:tc>
        <w:tc>
          <w:tcPr>
            <w:tcW w:w="494" w:type="dxa"/>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社会公益组织</w:t>
            </w:r>
          </w:p>
        </w:tc>
        <w:tc>
          <w:tcPr>
            <w:tcW w:w="547" w:type="dxa"/>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法律服务机构</w:t>
            </w:r>
          </w:p>
        </w:tc>
        <w:tc>
          <w:tcPr>
            <w:tcW w:w="592" w:type="dxa"/>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其他</w:t>
            </w:r>
          </w:p>
        </w:tc>
        <w:tc>
          <w:tcPr>
            <w:tcW w:w="824" w:type="dxa"/>
            <w:gridSpan w:val="2"/>
            <w:vMerge w:val="continue"/>
            <w:vAlign w:val="top"/>
          </w:tcPr>
          <w:p>
            <w:pPr>
              <w:jc w:val="center"/>
              <w:rPr>
                <w:rFonts w:hint="eastAsia" w:ascii="宋体" w:hAnsi="宋体" w:eastAsia="宋体" w:cs="宋体"/>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00" w:hRule="atLeast"/>
        </w:trPr>
        <w:tc>
          <w:tcPr>
            <w:tcW w:w="3829" w:type="dxa"/>
            <w:gridSpan w:val="3"/>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一、本年（2020）新收政府信息公开申请数量</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2" w:type="dxa"/>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00" w:hRule="atLeast"/>
        </w:trPr>
        <w:tc>
          <w:tcPr>
            <w:tcW w:w="3829" w:type="dxa"/>
            <w:gridSpan w:val="3"/>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二、上年（2019）结转政府信息公开申请数量</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2" w:type="dxa"/>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 w:type="dxa"/>
          <w:trHeight w:val="420" w:hRule="atLeast"/>
        </w:trPr>
        <w:tc>
          <w:tcPr>
            <w:tcW w:w="635" w:type="dxa"/>
            <w:vMerge w:val="restart"/>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三、本年度办理结果</w:t>
            </w:r>
          </w:p>
        </w:tc>
        <w:tc>
          <w:tcPr>
            <w:tcW w:w="3194" w:type="dxa"/>
            <w:gridSpan w:val="2"/>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（一）予以公开</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2" w:type="dxa"/>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0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3194" w:type="dxa"/>
            <w:gridSpan w:val="2"/>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（二）部分公开（区分处理的，只计这一情形，不计其他情形）</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2" w:type="dxa"/>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8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restart"/>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（三）不予公开</w:t>
            </w: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1.属于国家秘密</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2" w:type="dxa"/>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2.其他法律行政法规禁止公开</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3.危及“三安全一稳定”</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4.保护第三方合法权益</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5.属于三类内部事务信息</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6.属于四类过程性信息</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7.属于行政执法案卷</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8.属于行政查询事项</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restart"/>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（四）无法提供</w:t>
            </w: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1.本机关不掌握相关政府信息</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2.没有现成信息需要另行制作</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3.补正后申请内容仍不明确</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restart"/>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（五）不予处理</w:t>
            </w: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1.信访举报投诉类申请</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2.重复申请</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3.要求提供公开出版物</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4.无正当理由大量反复申请</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823" w:type="dxa"/>
            <w:vMerge w:val="continue"/>
          </w:tcPr>
          <w:p>
            <w:pPr>
              <w:jc w:val="center"/>
              <w:rPr>
                <w:rFonts w:hint="eastAsia" w:ascii="宋体" w:hAnsi="宋体" w:eastAsia="宋体" w:cs="宋体"/>
                <w:color w:val="333333"/>
                <w:sz w:val="21"/>
                <w:szCs w:val="21"/>
                <w:shd w:val="clear" w:color="auto" w:fill="FFFFFF"/>
              </w:rPr>
            </w:pPr>
          </w:p>
        </w:tc>
        <w:tc>
          <w:tcPr>
            <w:tcW w:w="2371" w:type="dxa"/>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5.要求行政机关确认或重新出具已获取信息</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3194" w:type="dxa"/>
            <w:gridSpan w:val="2"/>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（六）其他处理</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635" w:type="dxa"/>
            <w:vMerge w:val="continue"/>
          </w:tcPr>
          <w:p>
            <w:pPr>
              <w:jc w:val="center"/>
              <w:rPr>
                <w:rFonts w:hint="eastAsia" w:ascii="宋体" w:hAnsi="宋体" w:eastAsia="宋体" w:cs="宋体"/>
                <w:color w:val="333333"/>
                <w:sz w:val="21"/>
                <w:szCs w:val="21"/>
                <w:shd w:val="clear" w:color="auto" w:fill="FFFFFF"/>
              </w:rPr>
            </w:pPr>
          </w:p>
        </w:tc>
        <w:tc>
          <w:tcPr>
            <w:tcW w:w="3194" w:type="dxa"/>
            <w:gridSpan w:val="2"/>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（七）总计</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829" w:type="dxa"/>
            <w:gridSpan w:val="3"/>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四、结转下年度（2021）继续办理</w:t>
            </w:r>
          </w:p>
        </w:tc>
        <w:tc>
          <w:tcPr>
            <w:tcW w:w="598" w:type="dxa"/>
            <w:vAlign w:val="top"/>
          </w:tcPr>
          <w:p>
            <w:pPr>
              <w:jc w:val="center"/>
              <w:rPr>
                <w:rFonts w:hint="eastAsia" w:ascii="宋体" w:hAnsi="宋体" w:eastAsia="宋体" w:cs="宋体"/>
                <w:color w:val="333333"/>
                <w:sz w:val="21"/>
                <w:szCs w:val="21"/>
                <w:shd w:val="clear" w:color="auto" w:fill="FFFFFF"/>
              </w:rPr>
            </w:pPr>
          </w:p>
        </w:tc>
        <w:tc>
          <w:tcPr>
            <w:tcW w:w="531" w:type="dxa"/>
            <w:vAlign w:val="top"/>
          </w:tcPr>
          <w:p>
            <w:pPr>
              <w:jc w:val="center"/>
              <w:rPr>
                <w:rFonts w:hint="eastAsia" w:ascii="宋体" w:hAnsi="宋体" w:eastAsia="宋体" w:cs="宋体"/>
                <w:color w:val="333333"/>
                <w:sz w:val="21"/>
                <w:szCs w:val="21"/>
                <w:shd w:val="clear" w:color="auto" w:fill="FFFFFF"/>
              </w:rPr>
            </w:pPr>
          </w:p>
        </w:tc>
        <w:tc>
          <w:tcPr>
            <w:tcW w:w="477" w:type="dxa"/>
            <w:vAlign w:val="top"/>
          </w:tcPr>
          <w:p>
            <w:pPr>
              <w:jc w:val="center"/>
              <w:rPr>
                <w:rFonts w:hint="eastAsia" w:ascii="宋体" w:hAnsi="宋体" w:eastAsia="宋体" w:cs="宋体"/>
                <w:color w:val="333333"/>
                <w:sz w:val="21"/>
                <w:szCs w:val="21"/>
                <w:shd w:val="clear" w:color="auto" w:fill="FFFFFF"/>
              </w:rPr>
            </w:pPr>
          </w:p>
        </w:tc>
        <w:tc>
          <w:tcPr>
            <w:tcW w:w="494" w:type="dxa"/>
            <w:vAlign w:val="top"/>
          </w:tcPr>
          <w:p>
            <w:pPr>
              <w:jc w:val="center"/>
              <w:rPr>
                <w:rFonts w:hint="eastAsia" w:ascii="宋体" w:hAnsi="宋体" w:eastAsia="宋体" w:cs="宋体"/>
                <w:color w:val="333333"/>
                <w:sz w:val="21"/>
                <w:szCs w:val="21"/>
                <w:shd w:val="clear" w:color="auto" w:fill="FFFFFF"/>
              </w:rPr>
            </w:pPr>
          </w:p>
        </w:tc>
        <w:tc>
          <w:tcPr>
            <w:tcW w:w="547" w:type="dxa"/>
            <w:vAlign w:val="top"/>
          </w:tcPr>
          <w:p>
            <w:pPr>
              <w:jc w:val="center"/>
              <w:rPr>
                <w:rFonts w:hint="eastAsia" w:ascii="宋体" w:hAnsi="宋体" w:eastAsia="宋体" w:cs="宋体"/>
                <w:color w:val="333333"/>
                <w:sz w:val="21"/>
                <w:szCs w:val="21"/>
                <w:shd w:val="clear" w:color="auto" w:fill="FFFFFF"/>
              </w:rPr>
            </w:pPr>
          </w:p>
        </w:tc>
        <w:tc>
          <w:tcPr>
            <w:tcW w:w="595" w:type="dxa"/>
            <w:gridSpan w:val="2"/>
            <w:vAlign w:val="top"/>
          </w:tcPr>
          <w:p>
            <w:pPr>
              <w:jc w:val="center"/>
              <w:rPr>
                <w:rFonts w:hint="eastAsia" w:ascii="宋体" w:hAnsi="宋体" w:eastAsia="宋体" w:cs="宋体"/>
                <w:color w:val="333333"/>
                <w:sz w:val="21"/>
                <w:szCs w:val="21"/>
                <w:shd w:val="clear" w:color="auto" w:fill="FFFFFF"/>
              </w:rPr>
            </w:pPr>
          </w:p>
        </w:tc>
        <w:tc>
          <w:tcPr>
            <w:tcW w:w="824" w:type="dxa"/>
            <w:gridSpan w:val="2"/>
            <w:vAlign w:val="top"/>
          </w:tcPr>
          <w:p>
            <w:pPr>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bl>
    <w:p>
      <w:pPr>
        <w:rPr>
          <w:rFonts w:ascii="Arial" w:hAnsi="Arial" w:cs="Arial"/>
          <w:color w:val="333333"/>
          <w:shd w:val="clear" w:color="auto" w:fill="FFFFFF"/>
        </w:rPr>
      </w:pPr>
    </w:p>
    <w:p>
      <w:pPr>
        <w:rPr>
          <w:rFonts w:ascii="Arial" w:hAnsi="Arial" w:cs="Arial"/>
          <w:color w:val="333333"/>
          <w:shd w:val="clear" w:color="auto" w:fill="FFFFFF"/>
        </w:rPr>
      </w:pPr>
    </w:p>
    <w:p>
      <w:pPr>
        <w:rPr>
          <w:rFonts w:ascii="Arial" w:hAnsi="Arial" w:cs="Arial"/>
          <w:color w:val="333333"/>
          <w:shd w:val="clear" w:color="auto" w:fill="FFFFFF"/>
        </w:rPr>
      </w:pPr>
    </w:p>
    <w:p>
      <w:pPr>
        <w:numPr>
          <w:ilvl w:val="0"/>
          <w:numId w:val="1"/>
        </w:numPr>
        <w:rPr>
          <w:rFonts w:hint="eastAsia" w:ascii="黑体" w:hAnsi="黑体" w:eastAsia="黑体" w:cs="Arial"/>
          <w:color w:val="333333"/>
          <w:sz w:val="32"/>
          <w:szCs w:val="32"/>
          <w:shd w:val="clear" w:color="auto" w:fill="FFFFFF"/>
        </w:rPr>
      </w:pPr>
      <w:r>
        <w:rPr>
          <w:rFonts w:hint="eastAsia" w:ascii="黑体" w:hAnsi="黑体" w:eastAsia="黑体" w:cs="Arial"/>
          <w:color w:val="333333"/>
          <w:sz w:val="32"/>
          <w:szCs w:val="32"/>
          <w:shd w:val="clear" w:color="auto" w:fill="FFFFFF"/>
        </w:rPr>
        <w:t>政府信息公开行政复议、行政诉讼情况</w:t>
      </w:r>
    </w:p>
    <w:p>
      <w:pPr>
        <w:numPr>
          <w:ilvl w:val="0"/>
          <w:numId w:val="0"/>
        </w:numPr>
        <w:rPr>
          <w:rFonts w:hint="eastAsia" w:ascii="黑体" w:hAnsi="黑体" w:eastAsia="黑体" w:cs="Arial"/>
          <w:color w:val="333333"/>
          <w:sz w:val="32"/>
          <w:szCs w:val="32"/>
          <w:shd w:val="clear" w:color="auto" w:fill="FFFFFF"/>
        </w:rPr>
      </w:pPr>
    </w:p>
    <w:tbl>
      <w:tblPr>
        <w:tblStyle w:val="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19"/>
        <w:gridCol w:w="623"/>
        <w:gridCol w:w="608"/>
        <w:gridCol w:w="661"/>
        <w:gridCol w:w="636"/>
        <w:gridCol w:w="554"/>
        <w:gridCol w:w="620"/>
        <w:gridCol w:w="541"/>
        <w:gridCol w:w="580"/>
        <w:gridCol w:w="622"/>
        <w:gridCol w:w="555"/>
        <w:gridCol w:w="525"/>
        <w:gridCol w:w="581"/>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078" w:type="dxa"/>
            <w:gridSpan w:val="5"/>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行政复议</w:t>
            </w:r>
          </w:p>
        </w:tc>
        <w:tc>
          <w:tcPr>
            <w:tcW w:w="6002" w:type="dxa"/>
            <w:gridSpan w:val="10"/>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567" w:type="dxa"/>
            <w:vMerge w:val="restart"/>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结果维持</w:t>
            </w:r>
          </w:p>
        </w:tc>
        <w:tc>
          <w:tcPr>
            <w:tcW w:w="619" w:type="dxa"/>
            <w:vMerge w:val="restart"/>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结果纠正</w:t>
            </w:r>
          </w:p>
        </w:tc>
        <w:tc>
          <w:tcPr>
            <w:tcW w:w="623" w:type="dxa"/>
            <w:vMerge w:val="restart"/>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其他结果</w:t>
            </w:r>
          </w:p>
        </w:tc>
        <w:tc>
          <w:tcPr>
            <w:tcW w:w="608" w:type="dxa"/>
            <w:vMerge w:val="restart"/>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尚未审结</w:t>
            </w:r>
          </w:p>
        </w:tc>
        <w:tc>
          <w:tcPr>
            <w:tcW w:w="661" w:type="dxa"/>
            <w:vMerge w:val="restart"/>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总计</w:t>
            </w:r>
          </w:p>
        </w:tc>
        <w:tc>
          <w:tcPr>
            <w:tcW w:w="2931" w:type="dxa"/>
            <w:gridSpan w:val="5"/>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未经复议直接起诉</w:t>
            </w:r>
          </w:p>
        </w:tc>
        <w:tc>
          <w:tcPr>
            <w:tcW w:w="3071" w:type="dxa"/>
            <w:gridSpan w:val="5"/>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rPr>
        <w:tc>
          <w:tcPr>
            <w:tcW w:w="567" w:type="dxa"/>
            <w:vMerge w:val="continue"/>
          </w:tcPr>
          <w:p>
            <w:pPr>
              <w:rPr>
                <w:rFonts w:hint="eastAsia" w:ascii="宋体" w:hAnsi="宋体" w:eastAsia="宋体" w:cs="宋体"/>
                <w:color w:val="333333"/>
                <w:sz w:val="21"/>
                <w:szCs w:val="21"/>
                <w:shd w:val="clear" w:color="auto" w:fill="FFFFFF"/>
              </w:rPr>
            </w:pPr>
          </w:p>
        </w:tc>
        <w:tc>
          <w:tcPr>
            <w:tcW w:w="619" w:type="dxa"/>
            <w:vMerge w:val="continue"/>
          </w:tcPr>
          <w:p>
            <w:pPr>
              <w:rPr>
                <w:rFonts w:hint="eastAsia" w:ascii="宋体" w:hAnsi="宋体" w:eastAsia="宋体" w:cs="宋体"/>
                <w:color w:val="333333"/>
                <w:sz w:val="21"/>
                <w:szCs w:val="21"/>
                <w:shd w:val="clear" w:color="auto" w:fill="FFFFFF"/>
              </w:rPr>
            </w:pPr>
          </w:p>
        </w:tc>
        <w:tc>
          <w:tcPr>
            <w:tcW w:w="623" w:type="dxa"/>
            <w:vMerge w:val="continue"/>
          </w:tcPr>
          <w:p>
            <w:pPr>
              <w:rPr>
                <w:rFonts w:hint="eastAsia" w:ascii="宋体" w:hAnsi="宋体" w:eastAsia="宋体" w:cs="宋体"/>
                <w:color w:val="333333"/>
                <w:sz w:val="21"/>
                <w:szCs w:val="21"/>
                <w:shd w:val="clear" w:color="auto" w:fill="FFFFFF"/>
              </w:rPr>
            </w:pPr>
          </w:p>
        </w:tc>
        <w:tc>
          <w:tcPr>
            <w:tcW w:w="608" w:type="dxa"/>
            <w:vMerge w:val="continue"/>
          </w:tcPr>
          <w:p>
            <w:pPr>
              <w:rPr>
                <w:rFonts w:hint="eastAsia" w:ascii="宋体" w:hAnsi="宋体" w:eastAsia="宋体" w:cs="宋体"/>
                <w:color w:val="333333"/>
                <w:sz w:val="21"/>
                <w:szCs w:val="21"/>
                <w:shd w:val="clear" w:color="auto" w:fill="FFFFFF"/>
              </w:rPr>
            </w:pPr>
          </w:p>
        </w:tc>
        <w:tc>
          <w:tcPr>
            <w:tcW w:w="661" w:type="dxa"/>
            <w:vMerge w:val="continue"/>
          </w:tcPr>
          <w:p>
            <w:pPr>
              <w:rPr>
                <w:rFonts w:hint="eastAsia" w:ascii="宋体" w:hAnsi="宋体" w:eastAsia="宋体" w:cs="宋体"/>
                <w:color w:val="333333"/>
                <w:sz w:val="21"/>
                <w:szCs w:val="21"/>
                <w:shd w:val="clear" w:color="auto" w:fill="FFFFFF"/>
              </w:rPr>
            </w:pPr>
          </w:p>
        </w:tc>
        <w:tc>
          <w:tcPr>
            <w:tcW w:w="636"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结果维持</w:t>
            </w:r>
          </w:p>
        </w:tc>
        <w:tc>
          <w:tcPr>
            <w:tcW w:w="554"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结果纠正</w:t>
            </w:r>
          </w:p>
        </w:tc>
        <w:tc>
          <w:tcPr>
            <w:tcW w:w="620"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其他结果</w:t>
            </w:r>
          </w:p>
        </w:tc>
        <w:tc>
          <w:tcPr>
            <w:tcW w:w="541"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尚未审结</w:t>
            </w:r>
          </w:p>
        </w:tc>
        <w:tc>
          <w:tcPr>
            <w:tcW w:w="580"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总计</w:t>
            </w:r>
          </w:p>
        </w:tc>
        <w:tc>
          <w:tcPr>
            <w:tcW w:w="62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结果维持</w:t>
            </w:r>
          </w:p>
        </w:tc>
        <w:tc>
          <w:tcPr>
            <w:tcW w:w="555"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结果纠正</w:t>
            </w:r>
          </w:p>
        </w:tc>
        <w:tc>
          <w:tcPr>
            <w:tcW w:w="525"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其他结果</w:t>
            </w:r>
          </w:p>
        </w:tc>
        <w:tc>
          <w:tcPr>
            <w:tcW w:w="581"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尚未审结</w:t>
            </w:r>
          </w:p>
        </w:tc>
        <w:tc>
          <w:tcPr>
            <w:tcW w:w="78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67"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19"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23"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0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61"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36"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554"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20"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541"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580"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622"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555"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525"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581"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c>
          <w:tcPr>
            <w:tcW w:w="788" w:type="dxa"/>
          </w:tcPr>
          <w:p>
            <w:pP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0</w:t>
            </w:r>
          </w:p>
        </w:tc>
      </w:tr>
    </w:tbl>
    <w:p>
      <w:pPr>
        <w:rPr>
          <w:rFonts w:ascii="黑体" w:hAnsi="黑体" w:eastAsia="黑体" w:cs="Arial"/>
          <w:color w:val="333333"/>
          <w:sz w:val="32"/>
          <w:szCs w:val="32"/>
          <w:shd w:val="clear" w:color="auto" w:fill="FFFFFF"/>
        </w:rPr>
      </w:pPr>
    </w:p>
    <w:p>
      <w:pPr>
        <w:rPr>
          <w:rFonts w:ascii="黑体" w:hAnsi="黑体" w:eastAsia="黑体" w:cs="Arial"/>
          <w:color w:val="333333"/>
          <w:sz w:val="32"/>
          <w:szCs w:val="32"/>
          <w:shd w:val="clear" w:color="auto" w:fill="FFFFFF"/>
        </w:rPr>
      </w:pPr>
      <w:r>
        <w:rPr>
          <w:rFonts w:hint="eastAsia" w:ascii="黑体" w:hAnsi="黑体" w:eastAsia="黑体" w:cs="Arial"/>
          <w:color w:val="333333"/>
          <w:sz w:val="32"/>
          <w:szCs w:val="32"/>
          <w:shd w:val="clear" w:color="auto" w:fill="FFFFFF"/>
        </w:rPr>
        <w:t>五、存在的主要问题及改进情况</w:t>
      </w:r>
    </w:p>
    <w:p>
      <w:pPr>
        <w:rPr>
          <w:rFonts w:ascii="仿宋_GB2312" w:hAnsi="黑体" w:eastAsia="仿宋_GB2312" w:cs="Arial"/>
          <w:color w:val="333333"/>
          <w:sz w:val="32"/>
          <w:szCs w:val="32"/>
          <w:shd w:val="clear" w:color="auto" w:fill="FFFFFF"/>
        </w:rPr>
      </w:pPr>
      <w:r>
        <w:rPr>
          <w:rFonts w:hint="eastAsia" w:ascii="黑体" w:hAnsi="黑体" w:eastAsia="黑体" w:cs="Arial"/>
          <w:color w:val="333333"/>
          <w:sz w:val="32"/>
          <w:szCs w:val="32"/>
          <w:shd w:val="clear" w:color="auto" w:fill="FFFFFF"/>
        </w:rPr>
        <w:t xml:space="preserve"> </w:t>
      </w:r>
      <w:r>
        <w:rPr>
          <w:rFonts w:hint="eastAsia" w:ascii="仿宋_GB2312" w:hAnsi="黑体" w:eastAsia="仿宋_GB2312" w:cs="Arial"/>
          <w:color w:val="333333"/>
          <w:sz w:val="30"/>
          <w:szCs w:val="30"/>
          <w:shd w:val="clear" w:color="auto" w:fill="FFFFFF"/>
        </w:rPr>
        <w:t xml:space="preserve">  </w:t>
      </w:r>
      <w:r>
        <w:rPr>
          <w:rFonts w:ascii="仿宋_GB2312" w:hAnsi="黑体" w:eastAsia="仿宋_GB2312" w:cs="Arial"/>
          <w:color w:val="333333"/>
          <w:sz w:val="32"/>
          <w:szCs w:val="32"/>
          <w:shd w:val="clear" w:color="auto" w:fill="FFFFFF"/>
        </w:rPr>
        <w:t xml:space="preserve"> </w:t>
      </w:r>
      <w:r>
        <w:rPr>
          <w:rFonts w:hint="eastAsia" w:ascii="仿宋_GB2312" w:hAnsi="黑体" w:eastAsia="仿宋_GB2312" w:cs="Arial"/>
          <w:color w:val="333333"/>
          <w:sz w:val="32"/>
          <w:szCs w:val="32"/>
          <w:shd w:val="clear" w:color="auto" w:fill="FFFFFF"/>
        </w:rPr>
        <w:t>嵊州市文化广电旅游系统政务公开工作还存在一定不足，如政务公开的目录标准不够明晰，政务公开的时效性不够高、内容不够全等。下一步，嵊州市文化广电旅游局将进一步完善政府信息公开的各项规章制度，加强门户网站建设，优化栏目设置，不断充实政务公开内容，努力提高政务公开水平。</w:t>
      </w:r>
    </w:p>
    <w:p>
      <w:pPr>
        <w:rPr>
          <w:rFonts w:hint="eastAsia" w:ascii="仿宋_GB2312" w:hAnsi="黑体" w:eastAsia="仿宋_GB2312" w:cs="Arial"/>
          <w:color w:val="333333"/>
          <w:sz w:val="32"/>
          <w:szCs w:val="32"/>
          <w:shd w:val="clear" w:color="auto" w:fill="FFFFFF"/>
          <w:lang w:val="en-US" w:eastAsia="zh-CN"/>
        </w:rPr>
      </w:pPr>
    </w:p>
    <w:p>
      <w:pPr>
        <w:ind w:firstLine="4800" w:firstLineChars="1500"/>
        <w:rPr>
          <w:rFonts w:hint="eastAsia" w:ascii="仿宋_GB2312" w:hAnsi="黑体" w:eastAsia="仿宋_GB2312" w:cs="Arial"/>
          <w:color w:val="333333"/>
          <w:sz w:val="32"/>
          <w:szCs w:val="32"/>
          <w:shd w:val="clear" w:color="auto" w:fill="FFFFFF"/>
          <w:lang w:val="en-US" w:eastAsia="zh-CN"/>
        </w:rPr>
      </w:pPr>
      <w:r>
        <w:rPr>
          <w:rFonts w:hint="eastAsia" w:ascii="仿宋_GB2312" w:hAnsi="黑体" w:eastAsia="仿宋_GB2312" w:cs="Arial"/>
          <w:color w:val="333333"/>
          <w:sz w:val="32"/>
          <w:szCs w:val="32"/>
          <w:shd w:val="clear" w:color="auto" w:fill="FFFFFF"/>
          <w:lang w:val="en-US" w:eastAsia="zh-CN"/>
        </w:rPr>
        <w:t>嵊州市文化广电旅游局</w:t>
      </w:r>
    </w:p>
    <w:p>
      <w:pPr>
        <w:ind w:firstLine="5440" w:firstLineChars="1700"/>
        <w:rPr>
          <w:rFonts w:hint="eastAsia" w:ascii="仿宋_GB2312" w:hAnsi="黑体" w:eastAsia="仿宋_GB2312" w:cs="Arial"/>
          <w:color w:val="333333"/>
          <w:sz w:val="32"/>
          <w:szCs w:val="32"/>
          <w:shd w:val="clear" w:color="auto" w:fill="FFFFFF"/>
          <w:lang w:val="en-US" w:eastAsia="zh-CN"/>
        </w:rPr>
      </w:pPr>
      <w:r>
        <w:rPr>
          <w:rFonts w:hint="eastAsia" w:ascii="仿宋_GB2312" w:hAnsi="黑体" w:eastAsia="仿宋_GB2312" w:cs="Arial"/>
          <w:color w:val="333333"/>
          <w:sz w:val="32"/>
          <w:szCs w:val="32"/>
          <w:shd w:val="clear" w:color="auto" w:fill="FFFFFF"/>
          <w:lang w:val="en-US" w:eastAsia="zh-CN"/>
        </w:rPr>
        <w:t>2021年1月26日</w:t>
      </w:r>
    </w:p>
    <w:p>
      <w:pPr>
        <w:rPr>
          <w:rFonts w:ascii="仿宋_GB2312" w:hAnsi="黑体" w:eastAsia="仿宋_GB2312" w:cs="Arial"/>
          <w:color w:val="333333"/>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Latha">
    <w:panose1 w:val="02000400000000000000"/>
    <w:charset w:val="00"/>
    <w:family w:val="auto"/>
    <w:pitch w:val="default"/>
    <w:sig w:usb0="001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汉仪旗黑-55">
    <w:panose1 w:val="00020600040101010101"/>
    <w:charset w:val="86"/>
    <w:family w:val="auto"/>
    <w:pitch w:val="default"/>
    <w:sig w:usb0="A00002BF" w:usb1="18EF7CFA" w:usb2="00000016" w:usb3="00000000" w:csb0="00040000" w:csb1="00000000"/>
  </w:font>
  <w:font w:name="等线">
    <w:altName w:val="Lath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ADE2"/>
    <w:multiLevelType w:val="singleLevel"/>
    <w:tmpl w:val="600FADE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2B"/>
    <w:rsid w:val="00046D47"/>
    <w:rsid w:val="00085F22"/>
    <w:rsid w:val="0011226B"/>
    <w:rsid w:val="00136AED"/>
    <w:rsid w:val="00242B7D"/>
    <w:rsid w:val="002E3044"/>
    <w:rsid w:val="002F0BE7"/>
    <w:rsid w:val="00321604"/>
    <w:rsid w:val="003F6734"/>
    <w:rsid w:val="00420D6D"/>
    <w:rsid w:val="0044350D"/>
    <w:rsid w:val="00770FB3"/>
    <w:rsid w:val="00883D2B"/>
    <w:rsid w:val="008A1F39"/>
    <w:rsid w:val="00961CE9"/>
    <w:rsid w:val="009B0C1C"/>
    <w:rsid w:val="00A446EB"/>
    <w:rsid w:val="00B123B2"/>
    <w:rsid w:val="00B73EFC"/>
    <w:rsid w:val="00BE0268"/>
    <w:rsid w:val="00D2272D"/>
    <w:rsid w:val="00E95152"/>
    <w:rsid w:val="00FB7C70"/>
    <w:rsid w:val="0BD115BE"/>
    <w:rsid w:val="11752B2A"/>
    <w:rsid w:val="1B855C04"/>
    <w:rsid w:val="40572C61"/>
    <w:rsid w:val="42E16197"/>
    <w:rsid w:val="60F5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bjh-p"/>
    <w:basedOn w:val="6"/>
    <w:qFormat/>
    <w:uiPriority w:val="0"/>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310</Words>
  <Characters>1770</Characters>
  <Lines>14</Lines>
  <Paragraphs>4</Paragraphs>
  <ScaleCrop>false</ScaleCrop>
  <LinksUpToDate>false</LinksUpToDate>
  <CharactersWithSpaces>2076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2021-01-06T00:45:00Z</dcterms:created>
  <dc:creator>竹 Joshua</dc:creator>
  <cp:lastModifiedBy>Administrator</cp:lastModifiedBy>
  <dcterms:modified xsi:type="dcterms:W3CDTF">2021-01-26T06:19:01Z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