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ascii="仿宋" w:hAnsi="仿宋" w:eastAsia="仿宋" w:cs="仿宋"/>
          <w:b/>
          <w:color w:val="3D3D3D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color w:val="3D3D3D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color w:val="3D3D3D"/>
          <w:kern w:val="0"/>
          <w:sz w:val="32"/>
          <w:szCs w:val="32"/>
          <w:lang w:eastAsia="zh-CN"/>
        </w:rPr>
        <w:t>下半年度</w:t>
      </w:r>
      <w:r>
        <w:rPr>
          <w:rFonts w:hint="eastAsia" w:ascii="仿宋" w:hAnsi="仿宋" w:eastAsia="仿宋" w:cs="仿宋"/>
          <w:b/>
          <w:color w:val="3D3D3D"/>
          <w:kern w:val="0"/>
          <w:sz w:val="32"/>
          <w:szCs w:val="32"/>
        </w:rPr>
        <w:t>文化广电旅游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局下属事业单位面向社会</w:t>
      </w:r>
    </w:p>
    <w:p>
      <w:pPr>
        <w:widowControl/>
        <w:spacing w:line="384" w:lineRule="atLeas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公开招聘专技人员公告</w:t>
      </w:r>
    </w:p>
    <w:p>
      <w:pPr>
        <w:ind w:firstLine="600" w:firstLineChars="200"/>
        <w:rPr>
          <w:rFonts w:ascii="????" w:hAnsi="????" w:cs="????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满足我市文化事业发展需要，根据《事业单位公开招聘人员暂行规定》《浙江省事业单位公开招聘人员暂行办法》《绍兴市事业单位公开招聘工作实施细则（试行）》和《中共嵊州市委办公室、嵊州市人民政府办公室关于印发</w:t>
      </w:r>
      <w:r>
        <w:rPr>
          <w:rFonts w:ascii="仿宋_GB2312" w:hAnsi="仿宋_GB2312" w:eastAsia="仿宋_GB2312" w:cs="仿宋_GB2312"/>
          <w:sz w:val="30"/>
          <w:szCs w:val="30"/>
        </w:rPr>
        <w:t>&lt;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嵊州市事业单位工作人员招聘和调动管理办法</w:t>
      </w:r>
      <w:r>
        <w:rPr>
          <w:rFonts w:ascii="仿宋_GB2312" w:hAnsi="仿宋_GB2312" w:eastAsia="仿宋_GB2312" w:cs="仿宋_GB2312"/>
          <w:sz w:val="30"/>
          <w:szCs w:val="30"/>
        </w:rPr>
        <w:t>&gt;</w:t>
      </w:r>
      <w:r>
        <w:rPr>
          <w:rFonts w:hint="eastAsia" w:ascii="仿宋_GB2312" w:hAnsi="仿宋_GB2312" w:eastAsia="仿宋_GB2312" w:cs="仿宋_GB2312"/>
          <w:sz w:val="30"/>
          <w:szCs w:val="30"/>
        </w:rPr>
        <w:t>的通知》（嵊市委办发〔</w:t>
      </w:r>
      <w:r>
        <w:rPr>
          <w:rFonts w:ascii="仿宋_GB2312" w:hAnsi="仿宋_GB2312" w:eastAsia="仿宋_GB2312" w:cs="仿宋_GB2312"/>
          <w:sz w:val="30"/>
          <w:szCs w:val="30"/>
        </w:rPr>
        <w:t>2013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="仿宋_GB2312" w:hAnsi="仿宋_GB2312" w:eastAsia="仿宋_GB2312" w:cs="仿宋_GB2312"/>
          <w:sz w:val="30"/>
          <w:szCs w:val="30"/>
        </w:rPr>
        <w:t>119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号）等有关规定，嵊州市文化广电旅游局下属事业单位将面向社会公开招聘专技人员，现将有关事项公告如下：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一、招聘计划</w:t>
      </w:r>
    </w:p>
    <w:p>
      <w:pPr>
        <w:ind w:firstLine="600" w:firstLineChars="200"/>
        <w:rPr>
          <w:rFonts w:ascii="????" w:hAnsi="????" w:cs="????"/>
          <w:szCs w:val="21"/>
          <w:shd w:val="clear" w:color="auto" w:fill="FFFFFF"/>
        </w:rPr>
      </w:pP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下半年度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嵊州市文化广电旅游局下属事业单位计划公开招聘专技人员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名，具体的招聘单位、岗位、人数和应聘资格条件，详见《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下半年度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嵊州市文化广电旅游局下属事业单位公开招聘专技人员计划表》（附件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二、招聘条件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（一）具有中华人民共和国国籍；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（二）遵纪守法，品行端正，愿意履行事业单位工作人员的义务；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（三）具有适应岗位要求的身体条件；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（四）具有国家承认的学历，国（境）外学历须经国家教育部中国留学服务中心认证；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（五）具备与招聘岗位要求相适应的学历、专业等其他条件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详见附件</w:t>
      </w:r>
      <w:r>
        <w:rPr>
          <w:rFonts w:ascii="仿宋_GB2312" w:hAnsi="仿宋_GB2312" w:eastAsia="仿宋_GB2312" w:cs="仿宋_GB2312"/>
          <w:sz w:val="30"/>
          <w:szCs w:val="30"/>
        </w:rPr>
        <w:t>1)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三、招聘办法和程序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招聘工作贯彻公开、平等、竞争、择优的原则，采取现场报名、资格审查、考试、体检、考察、公示、聘用的程序进行，同一岗位符合条件的报考人数不低于招聘计划数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倍，不足规定比例的，将取消或核减招聘计划。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（一）报名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报名时间：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12月30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-12月31日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，上午</w:t>
      </w:r>
      <w:r>
        <w:rPr>
          <w:rFonts w:ascii="仿宋_GB2312" w:hAnsi="仿宋_GB2312" w:eastAsia="仿宋_GB2312" w:cs="仿宋_GB2312"/>
          <w:sz w:val="30"/>
          <w:szCs w:val="30"/>
        </w:rPr>
        <w:t>9:00-12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00</w:t>
      </w:r>
      <w:r>
        <w:rPr>
          <w:rFonts w:hint="eastAsia" w:ascii="仿宋_GB2312" w:hAnsi="仿宋_GB2312" w:eastAsia="仿宋_GB2312" w:cs="仿宋_GB2312"/>
          <w:sz w:val="30"/>
          <w:szCs w:val="30"/>
        </w:rPr>
        <w:t>，下午</w:t>
      </w:r>
      <w:r>
        <w:rPr>
          <w:rFonts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>0-1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ascii="仿宋_GB2312" w:hAnsi="仿宋_GB2312" w:eastAsia="仿宋_GB2312" w:cs="仿宋_GB2312"/>
          <w:sz w:val="30"/>
          <w:szCs w:val="30"/>
        </w:rPr>
        <w:t>:00</w:t>
      </w:r>
      <w:r>
        <w:rPr>
          <w:rFonts w:hint="eastAsia" w:ascii="仿宋_GB2312" w:hAnsi="仿宋_GB2312" w:eastAsia="仿宋_GB2312" w:cs="仿宋_GB2312"/>
          <w:sz w:val="30"/>
          <w:szCs w:val="30"/>
        </w:rPr>
        <w:t>，逾期不再受理。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报名地点：嵊州市剡湖街道官河路528号嵊州市文化广电旅游局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楼人事科，电话：</w:t>
      </w:r>
      <w:r>
        <w:rPr>
          <w:rFonts w:ascii="仿宋_GB2312" w:hAnsi="仿宋_GB2312" w:eastAsia="仿宋_GB2312" w:cs="仿宋_GB2312"/>
          <w:sz w:val="30"/>
          <w:szCs w:val="30"/>
        </w:rPr>
        <w:t>0575-83037922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报名方式：下载报名表（附件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），如实填写并粘贴照片，按规定的时间、地点进行现场报名。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携带材料：须提供本人身份证、学历证书原件及复印件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，其他应聘岗位所需的证件（证明）原件及复印件。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除按上述要求外，下列人员还须提供以下证明原件及复印件：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留学人员须提供教育部中国留学服务中心出具的境外学历、学位认证书；委培生须出具委托培养单位同意报考的书面证明；若应聘人员是机关、事业单位在编人员，须提供所在单位和主管部门同意报考的证明书（同意报考证明书必须在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日以后出具的方为有效），不能提供的，视作不符合应聘要求。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（二）考试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采用专业技能测试的方式，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考试满分均为100分，合格分为60分，不合格者，不能进入下一环节。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若入围者成绩相等，另行组织加试。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应聘人员必须同时携带准考证和有效期内的第二代居民身份证（两证缺一不可），按照准考证上规定的具体时间、地点和要求参加考试。考试时间、地点另行通知。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（三）体检、考察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考试结束后，根据考试成绩从高分到低分按招聘计划</w:t>
      </w:r>
      <w:r>
        <w:rPr>
          <w:rFonts w:ascii="仿宋_GB2312" w:hAnsi="仿宋_GB2312" w:eastAsia="仿宋_GB2312" w:cs="仿宋_GB2312"/>
          <w:sz w:val="30"/>
          <w:szCs w:val="30"/>
        </w:rPr>
        <w:t>1:1</w:t>
      </w:r>
      <w:r>
        <w:rPr>
          <w:rFonts w:hint="eastAsia" w:ascii="仿宋_GB2312" w:hAnsi="仿宋_GB2312" w:eastAsia="仿宋_GB2312" w:cs="仿宋_GB2312"/>
          <w:sz w:val="30"/>
          <w:szCs w:val="30"/>
        </w:rPr>
        <w:t>的比例确定体检对象，体检合格者将列为考察对象。体检、考察工作按公务员录用体检、考察标准执行。应聘人员不按规定的时间、地点参加体检的，视作放弃体检。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如有放弃体检、考察或体检、考察不合格的，将在拟聘用人员名单公示之前，在相应岗位考试合格人员中按成绩从高分到低分依次递补。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体检、考察工作实施前，国家、省出台新规定的，按新规定执行。体检、考察时间另行通知。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（四）公示、聘用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体检、考察合格者确定为拟聘用对象，拟聘用人员名单在嵊州市政府门户网站公示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个工作日。经公示无异议的，在公示结束后，办理相关手续，试用期按有关规定执行。试用期满考核合格的，予以正式聘用；考核不合格的，取消聘用。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批准聘用的人员必须在规定的时间内报到，逾期不能报到的，或发现有不符合报考资格和聘用条件的，取消聘用资格，相应岗位不再递补。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四、其他规定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（一）现役军人不能报考，在全日制学校脱产就读的人员不能以原已取得的学历、学位证书报考。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（二）应聘人员提交的材料，应当真实、完整、有效。凡恶意报名或虚假报名，及有意隐瞒本人真实情况获取应聘资格的，一经查实，立即取消应聘资格并作严肃处理。资格审查将贯穿公开招聘的全过程。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（三）对考试违纪违规行为的认定和处理，按照《事业单位公开招聘违纪违规行为处理规定》（人社部第</w:t>
      </w:r>
      <w:r>
        <w:rPr>
          <w:rFonts w:ascii="仿宋_GB2312" w:hAnsi="仿宋_GB2312" w:eastAsia="仿宋_GB2312" w:cs="仿宋_GB2312"/>
          <w:sz w:val="30"/>
          <w:szCs w:val="30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</w:rPr>
        <w:t>号令）和省有关规定执行。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工作经历要求的岗位，需提供所在单位的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从事该项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工作经历证明，在全日制学校就读期间参加社会实践、实习、兼职等不能作为工作经历。本次招聘所涉及的工作经历的计算，截止到2019年1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根据中共嵊州市委办公室、嵊州市人民政府办公室关于印发《嵊州市机关事业单位工作人员调动管理办法》的通知（嵊市委办发〔</w:t>
      </w:r>
      <w:r>
        <w:rPr>
          <w:rFonts w:ascii="仿宋_GB2312" w:hAnsi="仿宋_GB2312" w:eastAsia="仿宋_GB2312" w:cs="仿宋_GB2312"/>
          <w:sz w:val="30"/>
          <w:szCs w:val="30"/>
        </w:rPr>
        <w:t>2015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="仿宋_GB2312" w:hAnsi="仿宋_GB2312" w:eastAsia="仿宋_GB2312" w:cs="仿宋_GB2312"/>
          <w:sz w:val="30"/>
          <w:szCs w:val="30"/>
        </w:rPr>
        <w:t>78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号）规定：全市经公开招聘进入事业单位的工作人员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年内不得调动。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）本次招聘不举办、不委托、不授权任何社会机构和个人举办任何辅导培训班。目前社会上出现的任何以事业单位公开招聘考试命题组、专门培训机构等名义举办的辅导培训班、辅导网站或发行的出版物、上网卡等，均与招聘组织单位无关、与本次考试无关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）本次公开招聘的信息均在下列网站公布：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嵊州市政府门户网站（</w:t>
      </w:r>
      <w:r>
        <w:rPr>
          <w:rFonts w:ascii="仿宋_GB2312" w:hAnsi="仿宋_GB2312" w:eastAsia="仿宋_GB2312" w:cs="仿宋_GB2312"/>
          <w:sz w:val="30"/>
          <w:szCs w:val="30"/>
        </w:rPr>
        <w:t>http://www.szzj.gov.cn/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招聘公告中未尽事宜，由嵊州市文化广电旅游局按有关规定解释。咨询、监督电话：嵊州市文化广电旅游局</w:t>
      </w:r>
      <w:r>
        <w:rPr>
          <w:rFonts w:ascii="仿宋_GB2312" w:hAnsi="仿宋_GB2312" w:eastAsia="仿宋_GB2312" w:cs="仿宋_GB2312"/>
          <w:sz w:val="30"/>
          <w:szCs w:val="30"/>
        </w:rPr>
        <w:t>0575-83037922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下半年度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嵊州市文化广电旅游局下属事业单位公开招聘专技人员计划表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：嵊州市事业单位公开招聘工作人员报名表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嵊州市文化广电旅游局</w:t>
      </w:r>
    </w:p>
    <w:p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12月19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pStyle w:val="4"/>
        <w:widowControl/>
        <w:shd w:val="clear" w:color="auto" w:fill="FFFFFF"/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下半年度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嵊州市文化广电旅游局下属事业单位</w:t>
      </w:r>
    </w:p>
    <w:p>
      <w:pPr>
        <w:pStyle w:val="4"/>
        <w:widowControl/>
        <w:shd w:val="clear" w:color="auto" w:fill="FFFFFF"/>
        <w:spacing w:line="400" w:lineRule="exact"/>
        <w:ind w:firstLine="2108" w:firstLineChars="700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公开招聘专技人员计划表</w:t>
      </w:r>
    </w:p>
    <w:tbl>
      <w:tblPr>
        <w:tblStyle w:val="5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36"/>
        <w:gridCol w:w="466"/>
        <w:gridCol w:w="1199"/>
        <w:gridCol w:w="560"/>
        <w:gridCol w:w="1398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嵊州市越剧艺术保护传承中心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旦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1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越剧表演相关专业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年12月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演奏员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（司鼓）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年以上从事司鼓打击相关工作经历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演奏员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（笙兼唢呐）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年以上从事笙兼唢呐演奏相关工作经历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戏剧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编剧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  <w:lang w:eastAsia="zh-CN"/>
              </w:rPr>
              <w:t>本科及以上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戏剧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与影视学类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嵊州越剧艺术学校（嵊州越剧之家实验团）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基武功教师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表演艺术类、音乐与舞蹈学类、戏剧与影视学类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ascii="仿宋_GB2312" w:hAnsi="仿宋_GB2312" w:eastAsia="仿宋_GB2312" w:cs="仿宋_GB2312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35周岁及以下（1983年12月30日以后出生，以身份证出生日期为准） 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嵊州市事业单位公开招聘工作人员报名表</w:t>
      </w:r>
    </w:p>
    <w:p>
      <w:pPr>
        <w:adjustRightInd w:val="0"/>
        <w:snapToGrid w:val="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                应聘岗位：</w:t>
      </w: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  <w:lang w:eastAsia="zh-CN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57EE"/>
    <w:rsid w:val="00DD076D"/>
    <w:rsid w:val="011613BE"/>
    <w:rsid w:val="018B277D"/>
    <w:rsid w:val="02B87D7D"/>
    <w:rsid w:val="03991B7B"/>
    <w:rsid w:val="04950E51"/>
    <w:rsid w:val="0793559A"/>
    <w:rsid w:val="08FC3F75"/>
    <w:rsid w:val="093F7E65"/>
    <w:rsid w:val="097E6466"/>
    <w:rsid w:val="09E576CB"/>
    <w:rsid w:val="09EE28BD"/>
    <w:rsid w:val="0BBA2F34"/>
    <w:rsid w:val="0EEB36EA"/>
    <w:rsid w:val="0F1A1203"/>
    <w:rsid w:val="0F2A71BB"/>
    <w:rsid w:val="10030FED"/>
    <w:rsid w:val="1048192F"/>
    <w:rsid w:val="12787ADA"/>
    <w:rsid w:val="12DA5C65"/>
    <w:rsid w:val="141871F6"/>
    <w:rsid w:val="158057EB"/>
    <w:rsid w:val="159F746F"/>
    <w:rsid w:val="17511868"/>
    <w:rsid w:val="1767443B"/>
    <w:rsid w:val="17E75F7A"/>
    <w:rsid w:val="17EC7AE9"/>
    <w:rsid w:val="18173A2F"/>
    <w:rsid w:val="1AAA5518"/>
    <w:rsid w:val="1D462339"/>
    <w:rsid w:val="1DA77A45"/>
    <w:rsid w:val="1E1300B9"/>
    <w:rsid w:val="1EC52DE5"/>
    <w:rsid w:val="20595324"/>
    <w:rsid w:val="205F4FD9"/>
    <w:rsid w:val="226E633F"/>
    <w:rsid w:val="23764B42"/>
    <w:rsid w:val="23796FB2"/>
    <w:rsid w:val="246B59A3"/>
    <w:rsid w:val="26084CBA"/>
    <w:rsid w:val="26EC45D0"/>
    <w:rsid w:val="274C6809"/>
    <w:rsid w:val="29FD2410"/>
    <w:rsid w:val="2A232E26"/>
    <w:rsid w:val="2A3259D5"/>
    <w:rsid w:val="2AFB586F"/>
    <w:rsid w:val="2B036E0E"/>
    <w:rsid w:val="2D9655E7"/>
    <w:rsid w:val="2DA80559"/>
    <w:rsid w:val="3080168A"/>
    <w:rsid w:val="3149469F"/>
    <w:rsid w:val="32190BA7"/>
    <w:rsid w:val="32732D13"/>
    <w:rsid w:val="33594055"/>
    <w:rsid w:val="3360561E"/>
    <w:rsid w:val="33AC3A68"/>
    <w:rsid w:val="352A5A12"/>
    <w:rsid w:val="362C5F1D"/>
    <w:rsid w:val="368D2E71"/>
    <w:rsid w:val="36F85BBF"/>
    <w:rsid w:val="37F11402"/>
    <w:rsid w:val="386549D8"/>
    <w:rsid w:val="39493E60"/>
    <w:rsid w:val="3AF741BB"/>
    <w:rsid w:val="3B722F11"/>
    <w:rsid w:val="3C2F3908"/>
    <w:rsid w:val="3C4F5D2F"/>
    <w:rsid w:val="3CB75D6A"/>
    <w:rsid w:val="3D6938DD"/>
    <w:rsid w:val="3D881F0C"/>
    <w:rsid w:val="3E894E65"/>
    <w:rsid w:val="3ED916D5"/>
    <w:rsid w:val="3FF90CE8"/>
    <w:rsid w:val="4032276F"/>
    <w:rsid w:val="405440FC"/>
    <w:rsid w:val="40B66F88"/>
    <w:rsid w:val="41EA5605"/>
    <w:rsid w:val="41EB05C6"/>
    <w:rsid w:val="426018E2"/>
    <w:rsid w:val="42DB56C7"/>
    <w:rsid w:val="43081E80"/>
    <w:rsid w:val="4385554F"/>
    <w:rsid w:val="44B118B5"/>
    <w:rsid w:val="4575430F"/>
    <w:rsid w:val="45CB56E6"/>
    <w:rsid w:val="46135C3F"/>
    <w:rsid w:val="47BC6D29"/>
    <w:rsid w:val="48DB1FD7"/>
    <w:rsid w:val="4B377AA3"/>
    <w:rsid w:val="4BE71BF3"/>
    <w:rsid w:val="4C44522C"/>
    <w:rsid w:val="4CAE31E3"/>
    <w:rsid w:val="4CB1667B"/>
    <w:rsid w:val="4DA44B75"/>
    <w:rsid w:val="4DA50286"/>
    <w:rsid w:val="4DDA1A95"/>
    <w:rsid w:val="4E8A7CE7"/>
    <w:rsid w:val="4F202C30"/>
    <w:rsid w:val="4FE471B5"/>
    <w:rsid w:val="50072BC9"/>
    <w:rsid w:val="501368D3"/>
    <w:rsid w:val="504D63C1"/>
    <w:rsid w:val="50A44201"/>
    <w:rsid w:val="50B00F45"/>
    <w:rsid w:val="51377255"/>
    <w:rsid w:val="514A5217"/>
    <w:rsid w:val="525027F1"/>
    <w:rsid w:val="530C418D"/>
    <w:rsid w:val="53AB2C87"/>
    <w:rsid w:val="54B71D9A"/>
    <w:rsid w:val="55236F54"/>
    <w:rsid w:val="56CE32C0"/>
    <w:rsid w:val="57C73D6E"/>
    <w:rsid w:val="59213E55"/>
    <w:rsid w:val="595B781D"/>
    <w:rsid w:val="5ADF2CEB"/>
    <w:rsid w:val="5BEA3305"/>
    <w:rsid w:val="5C9B0526"/>
    <w:rsid w:val="5CC83E14"/>
    <w:rsid w:val="5DE855FE"/>
    <w:rsid w:val="5E437CC9"/>
    <w:rsid w:val="5F210CC1"/>
    <w:rsid w:val="60090D42"/>
    <w:rsid w:val="60912C63"/>
    <w:rsid w:val="60F36247"/>
    <w:rsid w:val="60FF1E04"/>
    <w:rsid w:val="62107567"/>
    <w:rsid w:val="626F0CE0"/>
    <w:rsid w:val="62A54E6E"/>
    <w:rsid w:val="638007F8"/>
    <w:rsid w:val="63993E18"/>
    <w:rsid w:val="655A20B1"/>
    <w:rsid w:val="65633D39"/>
    <w:rsid w:val="65F10D2A"/>
    <w:rsid w:val="66297AE6"/>
    <w:rsid w:val="66925992"/>
    <w:rsid w:val="66C80058"/>
    <w:rsid w:val="66FA6B98"/>
    <w:rsid w:val="67C7704A"/>
    <w:rsid w:val="67C91AC3"/>
    <w:rsid w:val="68A36449"/>
    <w:rsid w:val="698B186C"/>
    <w:rsid w:val="6A852FD6"/>
    <w:rsid w:val="6AF55F7C"/>
    <w:rsid w:val="6B0148B7"/>
    <w:rsid w:val="6C633AED"/>
    <w:rsid w:val="6D7E6B6D"/>
    <w:rsid w:val="6DF01644"/>
    <w:rsid w:val="6DF34C42"/>
    <w:rsid w:val="6E2D6EEF"/>
    <w:rsid w:val="6E482163"/>
    <w:rsid w:val="6EFC2A49"/>
    <w:rsid w:val="6FF84966"/>
    <w:rsid w:val="707C34F6"/>
    <w:rsid w:val="70C325E3"/>
    <w:rsid w:val="718C764D"/>
    <w:rsid w:val="73614F7E"/>
    <w:rsid w:val="75A51B9E"/>
    <w:rsid w:val="769D7608"/>
    <w:rsid w:val="76D757EE"/>
    <w:rsid w:val="777D141C"/>
    <w:rsid w:val="77805C95"/>
    <w:rsid w:val="7782558E"/>
    <w:rsid w:val="786371EA"/>
    <w:rsid w:val="79270485"/>
    <w:rsid w:val="7955430E"/>
    <w:rsid w:val="79DD6A07"/>
    <w:rsid w:val="7A261880"/>
    <w:rsid w:val="7AFB4FD7"/>
    <w:rsid w:val="7B285410"/>
    <w:rsid w:val="7B7A6C71"/>
    <w:rsid w:val="7CA0177D"/>
    <w:rsid w:val="7CE05B8B"/>
    <w:rsid w:val="7D5E5FF7"/>
    <w:rsid w:val="7DAF7B8A"/>
    <w:rsid w:val="7E513C09"/>
    <w:rsid w:val="7F0B0D94"/>
    <w:rsid w:val="7F1B4339"/>
    <w:rsid w:val="7F8B5F34"/>
    <w:rsid w:val="7FE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2019-12-11T00:41:00Z</dcterms:created>
  <dc:creator>玲</dc:creator>
  <cp:lastModifiedBy>玲</cp:lastModifiedBy>
  <dcterms:modified xsi:type="dcterms:W3CDTF">2019-12-19T07:24:41Z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